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300"/>
        <w:jc w:val="center"/>
      </w:pPr>
      <w:r>
        <w:rPr>
          <w:b/>
          <w:bCs/>
          <w:color w:val="1F3864"/>
          <w:sz w:val="84"/>
          <w:szCs w:val="84"/>
        </w:rPr>
        <w:t xml:space="preserve">ForwardOS™</w:t>
      </w:r>
    </w:p>
    <w:p>
      <w:pPr>
        <w:spacing w:before="120"/>
        <w:jc w:val="center"/>
      </w:pPr>
      <w:r>
        <w:rPr>
          <w:color w:val="2E75B6"/>
          <w:sz w:val="30"/>
          <w:szCs w:val="30"/>
        </w:rPr>
        <w:t xml:space="preserve">The Corporate Transactions OS</w:t>
      </w:r>
    </w:p>
    <w:p>
      <w:pPr>
        <w:spacing w:before="360"/>
        <w:jc w:val="center"/>
      </w:pPr>
      <w:r>
        <w:rPr>
          <w:b/>
          <w:bCs/>
          <w:sz w:val="36"/>
          <w:szCs w:val="36"/>
        </w:rPr>
        <w:t xml:space="preserve">Build &amp; Execution Plan</w:t>
      </w:r>
    </w:p>
    <w:p>
      <w:pPr>
        <w:spacing w:before="60"/>
        <w:jc w:val="center"/>
      </w:pPr>
      <w:r>
        <w:rPr>
          <w:i/>
          <w:iCs/>
          <w:color w:val="595959"/>
          <w:sz w:val="22"/>
          <w:szCs w:val="22"/>
        </w:rPr>
        <w:t xml:space="preserve">Incorporating the ForwardOS Delta Review</w:t>
      </w:r>
    </w:p>
    <w:p>
      <w:pPr>
        <w:spacing w:before="60"/>
        <w:jc w:val="center"/>
      </w:pPr>
      <w:r>
        <w:rPr>
          <w:i/>
          <w:iCs/>
          <w:color w:val="8A6D1A"/>
          <w:sz w:val="19"/>
          <w:szCs w:val="19"/>
        </w:rPr>
        <w:t xml:space="preserve">Scope: buy · sell · merge · roll up · partner · restructure (no capital raising, no IPO)</w:t>
      </w:r>
    </w:p>
    <w:p>
      <w:pPr>
        <w:pBdr>
          <w:top w:val="single" w:color="2E75B6" w:sz="6" w:space="8"/>
        </w:pBdr>
        <w:spacing w:before="700"/>
        <w:jc w:val="center"/>
      </w:pPr>
      <w:r>
        <w:rPr>
          <w:sz w:val="2"/>
          <w:szCs w:val="2"/>
        </w:rPr>
        <w:t xml:space="preserve"/>
      </w:r>
    </w:p>
    <w:p>
      <w:pPr>
        <w:spacing w:before="200"/>
        <w:jc w:val="center"/>
      </w:pPr>
      <w:r>
        <w:rPr>
          <w:sz w:val="22"/>
          <w:szCs w:val="22"/>
        </w:rPr>
        <w:t xml:space="preserve">Official launch languages: English &amp; Arabic (full RTL)</w:t>
      </w:r>
    </w:p>
    <w:p>
      <w:pPr>
        <w:jc w:val="center"/>
      </w:pPr>
      <w:r>
        <w:rPr>
          <w:sz w:val="22"/>
          <w:szCs w:val="22"/>
        </w:rPr>
        <w:t xml:space="preserve">Launch currencies: USD · CAD · AED · SAR</w:t>
      </w:r>
    </w:p>
    <w:p>
      <w:pPr>
        <w:spacing w:before="240"/>
        <w:jc w:val="center"/>
      </w:pPr>
      <w:r>
        <w:rPr>
          <w:sz w:val="24"/>
          <w:szCs w:val="24"/>
        </w:rPr>
        <w:t xml:space="preserve">Owner: Ashik · UP Capital</w:t>
      </w:r>
    </w:p>
    <w:p>
      <w:pPr>
        <w:jc w:val="center"/>
      </w:pPr>
      <w:r>
        <w:rPr>
          <w:color w:val="595959"/>
          <w:sz w:val="22"/>
          <w:szCs w:val="22"/>
        </w:rPr>
        <w:t xml:space="preserve">Version 4 · June 7, 2026</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Pr>
      <w:r>
        <w:t xml:space="preserve">0. How to read this document</w:t>
      </w:r>
    </w:p>
    <w:p>
      <w:pPr>
        <w:spacing w:after="120" w:line="276"/>
      </w:pPr>
      <w:r>
        <w:t xml:space="preserve">This is an execution spec, not a pitch. It is written so that a Claude agent (plus human reviewers) can pick it up and build the system in phases. Each section states what to build, why it matters, and the concrete artifacts a build agent should produce. The strategy framing exists only to keep the build pointed at the right target.</w:t>
      </w:r>
    </w:p>
    <w:p>
      <w:pPr>
        <w:spacing w:after="120" w:line="276"/>
      </w:pPr>
      <w:r>
        <w:t xml:space="preserve">The document has three parts:</w:t>
      </w:r>
    </w:p>
    <w:p>
      <w:pPr>
        <w:pStyle w:val="ListParagraph"/>
        <w:numPr>
          <w:ilvl w:val="0"/>
          <w:numId w:val="2"/>
        </w:numPr>
        <w:spacing w:after="60"/>
      </w:pPr>
      <w:r>
        <w:rPr>
          <w:b/>
          <w:bCs/>
        </w:rPr>
        <w:t xml:space="preserve">Part I (Sections 1–7)</w:t>
      </w:r>
      <w:r>
        <w:t xml:space="preserve"> — the intelligence layer: category, architecture, the knowledge graph, the engines, the Strategic Paths Engine, the execution layer, and the data moat.</w:t>
      </w:r>
    </w:p>
    <w:p>
      <w:pPr>
        <w:pStyle w:val="ListParagraph"/>
        <w:numPr>
          <w:ilvl w:val="0"/>
          <w:numId w:val="2"/>
        </w:numPr>
        <w:spacing w:after="60"/>
      </w:pPr>
      <w:r>
        <w:rPr>
          <w:b/>
          <w:bCs/>
        </w:rPr>
        <w:t xml:space="preserve">Part II (Section 8)</w:t>
      </w:r>
      <w:r>
        <w:t xml:space="preserve"> — the ForwardOS Delta Review: the twelve marketplace gaps plus five platform foundations (localization &amp; multi-currency, document scanner, internal communications, admin &amp; governance, and the protected-data compliance framework).</w:t>
      </w:r>
    </w:p>
    <w:p>
      <w:pPr>
        <w:pStyle w:val="ListParagraph"/>
        <w:numPr>
          <w:ilvl w:val="0"/>
          <w:numId w:val="2"/>
        </w:numPr>
        <w:spacing w:after="60"/>
      </w:pPr>
      <w:r>
        <w:rPr>
          <w:b/>
          <w:bCs/>
        </w:rPr>
        <w:t xml:space="preserve">Part III (Sections 9–12)</w:t>
      </w:r>
      <w:r>
        <w:t xml:space="preserve"> — build execution: roadmap, agent checklist, guardrails, open questions, and appendices.</w:t>
      </w:r>
    </w:p>
    <w:p>
      <w:pPr>
        <w:spacing w:after="120" w:line="276"/>
      </w:pPr>
      <w:r>
        <w:t xml:space="preserve">Three things to hold in mind throughout:</w:t>
      </w:r>
    </w:p>
    <w:p>
      <w:pPr>
        <w:pStyle w:val="ListParagraph"/>
        <w:numPr>
          <w:ilvl w:val="0"/>
          <w:numId w:val="3"/>
        </w:numPr>
        <w:spacing w:after="60"/>
      </w:pPr>
      <w:r>
        <w:t xml:space="preserve">The product is an intelligence layer, not a workflow tool. The output of every engine is a ranked recommendation with evidence, not a form to fill in.</w:t>
      </w:r>
    </w:p>
    <w:p>
      <w:pPr>
        <w:pStyle w:val="ListParagraph"/>
        <w:numPr>
          <w:ilvl w:val="0"/>
          <w:numId w:val="3"/>
        </w:numPr>
        <w:spacing w:after="60"/>
      </w:pPr>
      <w:r>
        <w:t xml:space="preserve">The moat is accumulated transaction data, not model cleverness. Architect every feature so it deposits structured, reusable data into the knowledge graph.</w:t>
      </w:r>
    </w:p>
    <w:p>
      <w:pPr>
        <w:pStyle w:val="ListParagraph"/>
        <w:numPr>
          <w:ilvl w:val="0"/>
          <w:numId w:val="3"/>
        </w:numPr>
        <w:spacing w:after="60"/>
      </w:pPr>
      <w:r>
        <w:t xml:space="preserve">Scope discipline. This build is about corporate transactions — buy, sell, merge, roll up, partner, restructure. It does NOT raise capital or prepare companies for IPO; those are separate, out-of-scope modules.</w:t>
      </w:r>
    </w:p>
    <w:p>
      <w:pPr>
        <w:pageBreakBefore/>
        <w:shd w:fill="1F3864" w:val="clear"/>
        <w:spacing w:after="200" w:before="200"/>
        <w:jc w:val="center"/>
      </w:pPr>
      <w:r>
        <w:rPr>
          <w:b/>
          <w:bCs/>
          <w:color w:val="FFFFFF"/>
          <w:sz w:val="30"/>
          <w:szCs w:val="30"/>
        </w:rPr>
        <w:t xml:space="preserve">PART I — THE INTELLIGENCE LAYER</w:t>
      </w:r>
    </w:p>
    <w:p>
      <w:pPr>
        <w:pStyle w:val="Heading1"/>
      </w:pPr>
      <w:r>
        <w:t xml:space="preserve">1. Category &amp; positioning</w:t>
      </w:r>
    </w:p>
    <w:p>
      <w:pPr>
        <w:pStyle w:val="Heading2"/>
      </w:pPr>
      <w:r>
        <w:t xml:space="preserve">1.1 What this is</w:t>
      </w:r>
    </w:p>
    <w:p>
      <w:pPr>
        <w:spacing w:after="120" w:line="276"/>
      </w:pPr>
      <w:r>
        <w:t xml:space="preserve">ForwardOS is the </w:t>
      </w:r>
      <w:r>
        <w:rPr>
          <w:b/>
          <w:bCs/>
        </w:rPr>
        <w:t xml:space="preserve">Corporate Transactions OS</w:t>
      </w:r>
      <w:r>
        <w:t xml:space="preserve"> — the single intelligence layer a company uses to plan and execute its next corporate transaction. ForwardOS helps a company:</w:t>
      </w:r>
    </w:p>
    <w:p>
      <w:pPr>
        <w:pStyle w:val="ListParagraph"/>
        <w:numPr>
          <w:ilvl w:val="0"/>
          <w:numId w:val="2"/>
        </w:numPr>
        <w:spacing w:after="60"/>
      </w:pPr>
      <w:r>
        <w:t xml:space="preserve">Buy companies (strategic, financial, distressed, technology, carve-outs)</w:t>
      </w:r>
    </w:p>
    <w:p>
      <w:pPr>
        <w:pStyle w:val="ListParagraph"/>
        <w:numPr>
          <w:ilvl w:val="0"/>
          <w:numId w:val="2"/>
        </w:numPr>
        <w:spacing w:after="60"/>
      </w:pPr>
      <w:r>
        <w:t xml:space="preserve">Sell companies (full sale, partial sale, divestiture)</w:t>
      </w:r>
    </w:p>
    <w:p>
      <w:pPr>
        <w:pStyle w:val="ListParagraph"/>
        <w:numPr>
          <w:ilvl w:val="0"/>
          <w:numId w:val="2"/>
        </w:numPr>
        <w:spacing w:after="60"/>
      </w:pPr>
      <w:r>
        <w:t xml:space="preserve">Merge (strategic mergers, mergers of equals)</w:t>
      </w:r>
    </w:p>
    <w:p>
      <w:pPr>
        <w:pStyle w:val="ListParagraph"/>
        <w:numPr>
          <w:ilvl w:val="0"/>
          <w:numId w:val="2"/>
        </w:numPr>
        <w:spacing w:after="60"/>
      </w:pPr>
      <w:r>
        <w:t xml:space="preserve">Roll up industries (platform + bolt-on consolidation)</w:t>
      </w:r>
    </w:p>
    <w:p>
      <w:pPr>
        <w:pStyle w:val="ListParagraph"/>
        <w:numPr>
          <w:ilvl w:val="0"/>
          <w:numId w:val="2"/>
        </w:numPr>
        <w:spacing w:after="60"/>
      </w:pPr>
      <w:r>
        <w:t xml:space="preserve">Find strategic partners, acquirers, targets, advisors, and acquisition lenders</w:t>
      </w:r>
    </w:p>
    <w:p>
      <w:pPr>
        <w:pStyle w:val="ListParagraph"/>
        <w:numPr>
          <w:ilvl w:val="0"/>
          <w:numId w:val="2"/>
        </w:numPr>
        <w:spacing w:after="60"/>
      </w:pPr>
      <w:r>
        <w:t xml:space="preserve">Prepare for sale (exit readiness)</w:t>
      </w:r>
    </w:p>
    <w:p>
      <w:pPr>
        <w:pStyle w:val="ListParagraph"/>
        <w:numPr>
          <w:ilvl w:val="0"/>
          <w:numId w:val="2"/>
        </w:numPr>
        <w:spacing w:after="60"/>
      </w:pPr>
      <w:r>
        <w:t xml:space="preserve">Restructure, recover, or wind down on the best possible terms</w:t>
      </w:r>
    </w:p>
    <w:p>
      <w:pPr>
        <w:spacing w:after="120" w:line="276"/>
      </w:pPr>
      <w:r>
        <w:t xml:space="preserve">…all from one continuously-updated corporate knowledge graph.</w:t>
      </w:r>
    </w:p>
    <w:p>
      <w:pPr>
        <w:pBdr>
          <w:left w:val="single" w:color="2E75B6" w:sz="18" w:space="12"/>
        </w:pBdr>
        <w:spacing w:after="120" w:before="120"/>
        <w:ind w:left="240"/>
      </w:pPr>
      <w:r>
        <w:rPr>
          <w:i/>
          <w:iCs/>
          <w:color w:val="595959"/>
        </w:rPr>
        <w:t xml:space="preserve">Out of scope: raising capital (equity or debt rounds) and IPO / public-markets preparation. ForwardOS may sit alongside separate modules that handle those, but this build does not implement them.</w:t>
      </w:r>
    </w:p>
    <w:p>
      <w:pPr>
        <w:pStyle w:val="Heading2"/>
      </w:pPr>
      <w:r>
        <w:t xml:space="preserve">1.2 The problem nobody has solved</w:t>
      </w:r>
    </w:p>
    <w:p>
      <w:pPr>
        <w:spacing w:after="120" w:line="276"/>
      </w:pPr>
      <w:r>
        <w:t xml:space="preserve">Corporate transaction knowledge is fragmented and trapped in human relationships. A CEO's lawyers, bankers, accountants, and investors live in scattered emails and spreadsheets. No one has built a system that answers the single most valuable question a management team faces:</w:t>
      </w:r>
    </w:p>
    <w:p>
      <w:pPr>
        <w:pBdr>
          <w:left w:val="single" w:color="2E75B6" w:sz="18" w:space="12"/>
        </w:pBdr>
        <w:spacing w:after="120" w:before="120"/>
        <w:ind w:left="240"/>
      </w:pPr>
      <w:r>
        <w:rPr>
          <w:i/>
          <w:iCs/>
          <w:color w:val="595959"/>
        </w:rPr>
        <w:t xml:space="preserve">“What is the optimal next corporate transaction for this company — and who do we do it with?”</w:t>
      </w:r>
    </w:p>
    <w:p>
      <w:pPr>
        <w:spacing w:after="120" w:line="276"/>
      </w:pPr>
      <w:r>
        <w:t xml:space="preserve">That question, answered well and repeatedly, is the moat.</w:t>
      </w:r>
    </w:p>
    <w:p>
      <w:pPr>
        <w:pStyle w:val="Heading2"/>
      </w:pPr>
      <w:r>
        <w:t xml:space="preserve">1.3 Why this is bigger than a single tool</w:t>
      </w:r>
    </w:p>
    <w:p>
      <w:pPr>
        <w:spacing w:after="120" w:line="276"/>
      </w:pPr>
      <w:r>
        <w:t xml:space="preserve">Most M&amp;A software helps with one event (a sale, a data room). ForwardOS becomes the operating system for every corporate transaction across a company's life — acquiring, merging, rolling up, divesting, partnering, restructuring, and ultimately exiting. Every step deposits proprietary transaction data that makes the system smarter for the next company. ForwardOS can connect to adjacent lifecycle modules (e.g., audit, public-company operations), but within this scope it owns the transaction layer end to end.</w:t>
      </w:r>
    </w:p>
    <w:p>
      <w:pPr>
        <w:pStyle w:val="Heading2"/>
      </w:pPr>
      <w:r>
        <w:t xml:space="preserve">1.4 Naming the flagship module</w:t>
      </w:r>
    </w:p>
    <w:p>
      <w:pPr>
        <w:spacing w:after="120" w:line="276"/>
      </w:pPr>
      <w:r>
        <w:t xml:space="preserve">The decisioning surface should not be called “The Five Paths” (it implies distress and a fixed menu). Use </w:t>
      </w:r>
      <w:r>
        <w:rPr>
          <w:b/>
          <w:bCs/>
        </w:rPr>
        <w:t xml:space="preserve">Strategic Outcomes™</w:t>
      </w:r>
      <w:r>
        <w:t xml:space="preserve"> or </w:t>
      </w:r>
      <w:r>
        <w:rPr>
          <w:b/>
          <w:bCs/>
        </w:rPr>
        <w:t xml:space="preserve">Future Paths™</w:t>
      </w:r>
      <w:r>
        <w:t xml:space="preserve"> for the user-facing module, and </w:t>
      </w:r>
      <w:r>
        <w:rPr>
          <w:b/>
          <w:bCs/>
        </w:rPr>
        <w:t xml:space="preserve">The Strategic Paths Engine™</w:t>
      </w:r>
      <w:r>
        <w:t xml:space="preserve"> for the engine behind it.</w:t>
      </w:r>
    </w:p>
    <w:p>
      <w:pPr>
        <w:pBdr>
          <w:left w:val="single" w:color="2E75B6" w:sz="18" w:space="12"/>
        </w:pBdr>
        <w:spacing w:after="120" w:before="120"/>
        <w:ind w:left="240"/>
      </w:pPr>
      <w:r>
        <w:rPr>
          <w:i/>
          <w:iCs/>
          <w:color w:val="595959"/>
        </w:rPr>
        <w:t xml:space="preserve">“Every company has options. The AI identifies the path that maximizes shareholder value.”</w:t>
      </w:r>
    </w:p>
    <w:p>
      <w:pPr>
        <w:spacing w:after="120" w:line="276"/>
      </w:pPr>
      <w:r>
        <w:t xml:space="preserve">It applies equally to a startup, a family business, a PE portfolio company, and a mature private company — healthy or distressed.</w:t>
      </w:r>
    </w:p>
    <w:p>
      <w:pPr>
        <w:pStyle w:val="Heading2"/>
      </w:pPr>
      <w:r>
        <w:t xml:space="preserve">1.5 What it should feel like</w:t>
      </w:r>
    </w:p>
    <w:p>
      <w:pPr>
        <w:spacing w:after="120" w:line="276"/>
      </w:pPr>
      <w:r>
        <w:t xml:space="preserve">Not a listing marketplace, a data room, or a CRM — it should feel like the AI operating system for corporate transactions and strategic outcomes. A CEO should be able to ask, and get an evidence-backed answer with probabilities, counterparties, and an execution plan to:</w:t>
      </w:r>
    </w:p>
    <w:p>
      <w:pPr>
        <w:pStyle w:val="ListParagraph"/>
        <w:numPr>
          <w:ilvl w:val="0"/>
          <w:numId w:val="2"/>
        </w:numPr>
        <w:spacing w:after="60"/>
      </w:pPr>
      <w:r>
        <w:t xml:space="preserve">"Should we sell, merge, acquire, partner, or stay independent?"</w:t>
      </w:r>
    </w:p>
    <w:p>
      <w:pPr>
        <w:pStyle w:val="ListParagraph"/>
        <w:numPr>
          <w:ilvl w:val="0"/>
          <w:numId w:val="2"/>
        </w:numPr>
        <w:spacing w:after="60"/>
      </w:pPr>
      <w:r>
        <w:t xml:space="preserve">"Who is the best counterparty?"</w:t>
      </w:r>
    </w:p>
    <w:p>
      <w:pPr>
        <w:pStyle w:val="ListParagraph"/>
        <w:numPr>
          <w:ilvl w:val="0"/>
          <w:numId w:val="2"/>
        </w:numPr>
        <w:spacing w:after="60"/>
      </w:pPr>
      <w:r>
        <w:t xml:space="preserve">"What is the probability this closes?"</w:t>
      </w:r>
    </w:p>
    <w:p>
      <w:pPr>
        <w:pStyle w:val="ListParagraph"/>
        <w:numPr>
          <w:ilvl w:val="0"/>
          <w:numId w:val="2"/>
        </w:numPr>
        <w:spacing w:after="60"/>
      </w:pPr>
      <w:r>
        <w:t xml:space="preserve">"What risks are hidden in this deal?"</w:t>
      </w:r>
    </w:p>
    <w:p>
      <w:pPr>
        <w:pStyle w:val="ListParagraph"/>
        <w:numPr>
          <w:ilvl w:val="0"/>
          <w:numId w:val="2"/>
        </w:numPr>
        <w:spacing w:after="60"/>
      </w:pPr>
      <w:r>
        <w:t xml:space="preserve">"What is the optimal structure?"</w:t>
      </w:r>
    </w:p>
    <w:p>
      <w:pPr>
        <w:pStyle w:val="ListParagraph"/>
        <w:numPr>
          <w:ilvl w:val="0"/>
          <w:numId w:val="2"/>
        </w:numPr>
        <w:spacing w:after="60"/>
      </w:pPr>
      <w:r>
        <w:t xml:space="preserve">"What should we do next to maximize shareholder value?"</w:t>
      </w:r>
    </w:p>
    <w:p>
      <w:pPr>
        <w:pStyle w:val="Heading1"/>
      </w:pPr>
      <w:r>
        <w:t xml:space="preserve">2. System architecture (the layer cake)</w:t>
      </w:r>
    </w:p>
    <w:p>
      <w:pPr>
        <w:spacing w:after="120" w:line="276"/>
      </w:pPr>
      <w:r>
        <w:t xml:space="preserve">Build the platform as five horizontal layers. Engines sit in the Intelligence layer; the marketplace/execution capabilities (Section 8) live in L4/L5.</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1700"/>
        <w:gridCol w:w="3060"/>
        <w:gridCol w:w="4600"/>
      </w:tblGrid>
      <w:tr>
        <w:trPr>
          <w:tblHeader/>
        </w:trPr>
        <w:tc>
          <w:tcPr>
            <w:tcW w:type="dxa" w:w="1700"/>
            <w:shd w:fill="1F3864" w:val="clear"/>
            <w:tcMar>
              <w:top w:type="dxa" w:w="80"/>
              <w:left w:type="dxa" w:w="120"/>
              <w:bottom w:type="dxa" w:w="80"/>
              <w:right w:type="dxa" w:w="120"/>
            </w:tcMar>
          </w:tcPr>
          <w:p>
            <w:r>
              <w:rPr>
                <w:b/>
                <w:bCs/>
                <w:color w:val="FFFFFF"/>
                <w:sz w:val="20"/>
                <w:szCs w:val="20"/>
              </w:rPr>
              <w:t xml:space="preserve">Layer</w:t>
            </w:r>
          </w:p>
        </w:tc>
        <w:tc>
          <w:tcPr>
            <w:tcW w:type="dxa" w:w="3060"/>
            <w:shd w:fill="1F3864" w:val="clear"/>
            <w:tcMar>
              <w:top w:type="dxa" w:w="80"/>
              <w:left w:type="dxa" w:w="120"/>
              <w:bottom w:type="dxa" w:w="80"/>
              <w:right w:type="dxa" w:w="120"/>
            </w:tcMar>
          </w:tcPr>
          <w:p>
            <w:r>
              <w:rPr>
                <w:b/>
                <w:bCs/>
                <w:color w:val="FFFFFF"/>
                <w:sz w:val="20"/>
                <w:szCs w:val="20"/>
              </w:rPr>
              <w:t xml:space="preserve">Responsibility</w:t>
            </w:r>
          </w:p>
        </w:tc>
        <w:tc>
          <w:tcPr>
            <w:tcW w:type="dxa" w:w="4600"/>
            <w:shd w:fill="1F3864" w:val="clear"/>
            <w:tcMar>
              <w:top w:type="dxa" w:w="80"/>
              <w:left w:type="dxa" w:w="120"/>
              <w:bottom w:type="dxa" w:w="80"/>
              <w:right w:type="dxa" w:w="120"/>
            </w:tcMar>
          </w:tcPr>
          <w:p>
            <w:r>
              <w:rPr>
                <w:b/>
                <w:bCs/>
                <w:color w:val="FFFFFF"/>
                <w:sz w:val="20"/>
                <w:szCs w:val="20"/>
              </w:rPr>
              <w:t xml:space="preserve">Key components</w:t>
            </w:r>
          </w:p>
        </w:tc>
      </w:tr>
      <w:tr>
        <w:tc>
          <w:tcPr>
            <w:tcW w:type="dxa" w:w="1700"/>
            <w:shd w:fill="FFFFFF" w:val="clear"/>
            <w:tcMar>
              <w:top w:type="dxa" w:w="70"/>
              <w:left w:type="dxa" w:w="120"/>
              <w:bottom w:type="dxa" w:w="70"/>
              <w:right w:type="dxa" w:w="120"/>
            </w:tcMar>
          </w:tcPr>
          <w:p>
            <w:r>
              <w:t xml:space="preserve">L1 — Ingestion</w:t>
            </w:r>
          </w:p>
        </w:tc>
        <w:tc>
          <w:tcPr>
            <w:tcW w:type="dxa" w:w="3060"/>
            <w:shd w:fill="FFFFFF" w:val="clear"/>
            <w:tcMar>
              <w:top w:type="dxa" w:w="70"/>
              <w:left w:type="dxa" w:w="120"/>
              <w:bottom w:type="dxa" w:w="70"/>
              <w:right w:type="dxa" w:w="120"/>
            </w:tcMar>
          </w:tcPr>
          <w:p>
            <w:r>
              <w:t xml:space="preserve">Pull data in from everywhere</w:t>
            </w:r>
          </w:p>
        </w:tc>
        <w:tc>
          <w:tcPr>
            <w:tcW w:type="dxa" w:w="4600"/>
            <w:shd w:fill="FFFFFF" w:val="clear"/>
            <w:tcMar>
              <w:top w:type="dxa" w:w="70"/>
              <w:left w:type="dxa" w:w="120"/>
              <w:bottom w:type="dxa" w:w="70"/>
              <w:right w:type="dxa" w:w="120"/>
            </w:tcMar>
          </w:tcPr>
          <w:p>
            <w:r>
              <w:t xml:space="preserve">Connectors (CRM, email, accounting, data rooms), public-market feeds, filings, news, uploads, enrichment — all via the document scanner</w:t>
            </w:r>
          </w:p>
        </w:tc>
      </w:tr>
      <w:tr>
        <w:tc>
          <w:tcPr>
            <w:tcW w:type="dxa" w:w="1700"/>
            <w:shd w:fill="EEF3F8" w:val="clear"/>
            <w:tcMar>
              <w:top w:type="dxa" w:w="70"/>
              <w:left w:type="dxa" w:w="120"/>
              <w:bottom w:type="dxa" w:w="70"/>
              <w:right w:type="dxa" w:w="120"/>
            </w:tcMar>
          </w:tcPr>
          <w:p>
            <w:r>
              <w:t xml:space="preserve">L2 — Knowledge Graph</w:t>
            </w:r>
          </w:p>
        </w:tc>
        <w:tc>
          <w:tcPr>
            <w:tcW w:type="dxa" w:w="3060"/>
            <w:shd w:fill="EEF3F8" w:val="clear"/>
            <w:tcMar>
              <w:top w:type="dxa" w:w="70"/>
              <w:left w:type="dxa" w:w="120"/>
              <w:bottom w:type="dxa" w:w="70"/>
              <w:right w:type="dxa" w:w="120"/>
            </w:tcMar>
          </w:tcPr>
          <w:p>
            <w:r>
              <w:t xml:space="preserve">Single source of truth</w:t>
            </w:r>
          </w:p>
        </w:tc>
        <w:tc>
          <w:tcPr>
            <w:tcW w:type="dxa" w:w="4600"/>
            <w:shd w:fill="EEF3F8" w:val="clear"/>
            <w:tcMar>
              <w:top w:type="dxa" w:w="70"/>
              <w:left w:type="dxa" w:w="120"/>
              <w:bottom w:type="dxa" w:w="70"/>
              <w:right w:type="dxa" w:w="120"/>
            </w:tcMar>
          </w:tcPr>
          <w:p>
            <w:r>
              <w:t xml:space="preserve">Nodes, edges, attributes, time-versioning, provenance, entity resolution, trust/reputation graph</w:t>
            </w:r>
          </w:p>
        </w:tc>
      </w:tr>
      <w:tr>
        <w:tc>
          <w:tcPr>
            <w:tcW w:type="dxa" w:w="1700"/>
            <w:shd w:fill="FFFFFF" w:val="clear"/>
            <w:tcMar>
              <w:top w:type="dxa" w:w="70"/>
              <w:left w:type="dxa" w:w="120"/>
              <w:bottom w:type="dxa" w:w="70"/>
              <w:right w:type="dxa" w:w="120"/>
            </w:tcMar>
          </w:tcPr>
          <w:p>
            <w:r>
              <w:t xml:space="preserve">L3 — Intelligence engines</w:t>
            </w:r>
          </w:p>
        </w:tc>
        <w:tc>
          <w:tcPr>
            <w:tcW w:type="dxa" w:w="3060"/>
            <w:shd w:fill="FFFFFF" w:val="clear"/>
            <w:tcMar>
              <w:top w:type="dxa" w:w="70"/>
              <w:left w:type="dxa" w:w="120"/>
              <w:bottom w:type="dxa" w:w="70"/>
              <w:right w:type="dxa" w:w="120"/>
            </w:tcMar>
          </w:tcPr>
          <w:p>
            <w:r>
              <w:t xml:space="preserve">Turn graph into recommendations</w:t>
            </w:r>
          </w:p>
        </w:tc>
        <w:tc>
          <w:tcPr>
            <w:tcW w:type="dxa" w:w="4600"/>
            <w:shd w:fill="FFFFFF" w:val="clear"/>
            <w:tcMar>
              <w:top w:type="dxa" w:w="70"/>
              <w:left w:type="dxa" w:w="120"/>
              <w:bottom w:type="dxa" w:w="70"/>
              <w:right w:type="dxa" w:w="120"/>
            </w:tcMar>
          </w:tcPr>
          <w:p>
            <w:r>
              <w:t xml:space="preserve">The 9 engines + Strategic Paths Engine + Corporate Outcome Engine</w:t>
            </w:r>
          </w:p>
        </w:tc>
      </w:tr>
      <w:tr>
        <w:tc>
          <w:tcPr>
            <w:tcW w:type="dxa" w:w="1700"/>
            <w:shd w:fill="EEF3F8" w:val="clear"/>
            <w:tcMar>
              <w:top w:type="dxa" w:w="70"/>
              <w:left w:type="dxa" w:w="120"/>
              <w:bottom w:type="dxa" w:w="70"/>
              <w:right w:type="dxa" w:w="120"/>
            </w:tcMar>
          </w:tcPr>
          <w:p>
            <w:r>
              <w:t xml:space="preserve">L4 — Decision surfaces</w:t>
            </w:r>
          </w:p>
        </w:tc>
        <w:tc>
          <w:tcPr>
            <w:tcW w:type="dxa" w:w="3060"/>
            <w:shd w:fill="EEF3F8" w:val="clear"/>
            <w:tcMar>
              <w:top w:type="dxa" w:w="70"/>
              <w:left w:type="dxa" w:w="120"/>
              <w:bottom w:type="dxa" w:w="70"/>
              <w:right w:type="dxa" w:w="120"/>
            </w:tcMar>
          </w:tcPr>
          <w:p>
            <w:r>
              <w:t xml:space="preserve">Present ranked options with evidence</w:t>
            </w:r>
          </w:p>
        </w:tc>
        <w:tc>
          <w:tcPr>
            <w:tcW w:type="dxa" w:w="4600"/>
            <w:shd w:fill="EEF3F8" w:val="clear"/>
            <w:tcMar>
              <w:top w:type="dxa" w:w="70"/>
              <w:left w:type="dxa" w:w="120"/>
              <w:bottom w:type="dxa" w:w="70"/>
              <w:right w:type="dxa" w:w="120"/>
            </w:tcMar>
          </w:tcPr>
          <w:p>
            <w:r>
              <w:t xml:space="preserve">Strategic Paths dashboard, readiness scores, target maps, alerts, counterparty matching, market intelligence</w:t>
            </w:r>
          </w:p>
        </w:tc>
      </w:tr>
      <w:tr>
        <w:tc>
          <w:tcPr>
            <w:tcW w:type="dxa" w:w="1700"/>
            <w:shd w:fill="FFFFFF" w:val="clear"/>
            <w:tcMar>
              <w:top w:type="dxa" w:w="70"/>
              <w:left w:type="dxa" w:w="120"/>
              <w:bottom w:type="dxa" w:w="70"/>
              <w:right w:type="dxa" w:w="120"/>
            </w:tcMar>
          </w:tcPr>
          <w:p>
            <w:r>
              <w:t xml:space="preserve">L5 — Execution &amp; workflow</w:t>
            </w:r>
          </w:p>
        </w:tc>
        <w:tc>
          <w:tcPr>
            <w:tcW w:type="dxa" w:w="3060"/>
            <w:shd w:fill="FFFFFF" w:val="clear"/>
            <w:tcMar>
              <w:top w:type="dxa" w:w="70"/>
              <w:left w:type="dxa" w:w="120"/>
              <w:bottom w:type="dxa" w:w="70"/>
              <w:right w:type="dxa" w:w="120"/>
            </w:tcMar>
          </w:tcPr>
          <w:p>
            <w:r>
              <w:t xml:space="preserve">Help the deal actually get done</w:t>
            </w:r>
          </w:p>
        </w:tc>
        <w:tc>
          <w:tcPr>
            <w:tcW w:type="dxa" w:w="4600"/>
            <w:shd w:fill="FFFFFF" w:val="clear"/>
            <w:tcMar>
              <w:top w:type="dxa" w:w="70"/>
              <w:left w:type="dxa" w:w="120"/>
              <w:bottom w:type="dxa" w:w="70"/>
              <w:right w:type="dxa" w:w="120"/>
            </w:tcMar>
          </w:tcPr>
          <w:p>
            <w:r>
              <w:t xml:space="preserve">Deal Room OS, staged disclosure, negotiation intelligence, acquisition-financing marketplace, compliance automation, post-close integration, advisor network, internal comms</w:t>
            </w:r>
          </w:p>
        </w:tc>
      </w:tr>
    </w:tbl>
    <w:p>
      <w:pPr>
        <w:spacing w:after="120" w:line="276"/>
      </w:pPr>
      <w:r>
        <w:t xml:space="preserve">Cross-cutting concerns to design in from day one: </w:t>
      </w:r>
      <w:r>
        <w:rPr>
          <w:b/>
          <w:bCs/>
        </w:rPr>
        <w:t xml:space="preserve">provenance</w:t>
      </w:r>
      <w:r>
        <w:t xml:space="preserve">, </w:t>
      </w:r>
      <w:r>
        <w:rPr>
          <w:b/>
          <w:bCs/>
        </w:rPr>
        <w:t xml:space="preserve">time-versioning</w:t>
      </w:r>
      <w:r>
        <w:t xml:space="preserve">, </w:t>
      </w:r>
      <w:r>
        <w:rPr>
          <w:b/>
          <w:bCs/>
        </w:rPr>
        <w:t xml:space="preserve">confidence scoring</w:t>
      </w:r>
      <w:r>
        <w:t xml:space="preserve">, </w:t>
      </w:r>
      <w:r>
        <w:rPr>
          <w:b/>
          <w:bCs/>
        </w:rPr>
        <w:t xml:space="preserve">audit trail</w:t>
      </w:r>
      <w:r>
        <w:t xml:space="preserve">, </w:t>
      </w:r>
      <w:r>
        <w:rPr>
          <w:b/>
          <w:bCs/>
        </w:rPr>
        <w:t xml:space="preserve">enterprise-grade security</w:t>
      </w:r>
      <w:r>
        <w:t xml:space="preserve"> (L11), </w:t>
      </w:r>
      <w:r>
        <w:rPr>
          <w:b/>
          <w:bCs/>
        </w:rPr>
        <w:t xml:space="preserve">bilingual EN/AR localization with full RTL</w:t>
      </w:r>
      <w:r>
        <w:t xml:space="preserve"> and </w:t>
      </w:r>
      <w:r>
        <w:rPr>
          <w:b/>
          <w:bCs/>
        </w:rPr>
        <w:t xml:space="preserve">multi-currency (USD, CAD, AED, SAR)</w:t>
      </w:r>
      <w:r>
        <w:t xml:space="preserve"> (L13), and a </w:t>
      </w:r>
      <w:r>
        <w:rPr>
          <w:b/>
          <w:bCs/>
        </w:rPr>
        <w:t xml:space="preserve">protected-data compliance framework</w:t>
      </w:r>
      <w:r>
        <w:t xml:space="preserve"> spanning North America and the GCC (L17). Every screen, document, notification, and stored field must be language-, currency-, and classification-aware from the first commit.</w:t>
      </w:r>
    </w:p>
    <w:p>
      <w:pPr>
        <w:pStyle w:val="Heading1"/>
      </w:pPr>
      <w:r>
        <w:t xml:space="preserve">3. Core Engine #1 — The Corporate Knowledge Graph (foundational IP)</w:t>
      </w:r>
    </w:p>
    <w:p>
      <w:pPr>
        <w:spacing w:after="120" w:line="276"/>
      </w:pPr>
      <w:r>
        <w:t xml:space="preserve">This is the foundation everything else reads from. Build it first.</w:t>
      </w:r>
    </w:p>
    <w:p>
      <w:pPr>
        <w:pStyle w:val="Heading2"/>
      </w:pPr>
      <w:r>
        <w:t xml:space="preserve">3.1 Node types and attributes</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200"/>
        <w:gridCol w:w="7160"/>
      </w:tblGrid>
      <w:tr>
        <w:trPr>
          <w:tblHeader/>
        </w:trPr>
        <w:tc>
          <w:tcPr>
            <w:tcW w:type="dxa" w:w="2200"/>
            <w:shd w:fill="1F3864" w:val="clear"/>
            <w:tcMar>
              <w:top w:type="dxa" w:w="80"/>
              <w:left w:type="dxa" w:w="120"/>
              <w:bottom w:type="dxa" w:w="80"/>
              <w:right w:type="dxa" w:w="120"/>
            </w:tcMar>
          </w:tcPr>
          <w:p>
            <w:r>
              <w:rPr>
                <w:b/>
                <w:bCs/>
                <w:color w:val="FFFFFF"/>
                <w:sz w:val="20"/>
                <w:szCs w:val="20"/>
              </w:rPr>
              <w:t xml:space="preserve">Node</w:t>
            </w:r>
          </w:p>
        </w:tc>
        <w:tc>
          <w:tcPr>
            <w:tcW w:type="dxa" w:w="7160"/>
            <w:shd w:fill="1F3864" w:val="clear"/>
            <w:tcMar>
              <w:top w:type="dxa" w:w="80"/>
              <w:left w:type="dxa" w:w="120"/>
              <w:bottom w:type="dxa" w:w="80"/>
              <w:right w:type="dxa" w:w="120"/>
            </w:tcMar>
          </w:tcPr>
          <w:p>
            <w:r>
              <w:rPr>
                <w:b/>
                <w:bCs/>
                <w:color w:val="FFFFFF"/>
                <w:sz w:val="20"/>
                <w:szCs w:val="20"/>
              </w:rPr>
              <w:t xml:space="preserve">Attributes</w:t>
            </w:r>
          </w:p>
        </w:tc>
      </w:tr>
      <w:tr>
        <w:tc>
          <w:tcPr>
            <w:tcW w:type="dxa" w:w="2200"/>
            <w:shd w:fill="FFFFFF" w:val="clear"/>
            <w:tcMar>
              <w:top w:type="dxa" w:w="70"/>
              <w:left w:type="dxa" w:w="120"/>
              <w:bottom w:type="dxa" w:w="70"/>
              <w:right w:type="dxa" w:w="120"/>
            </w:tcMar>
          </w:tcPr>
          <w:p>
            <w:r>
              <w:t xml:space="preserve">Company</w:t>
            </w:r>
          </w:p>
        </w:tc>
        <w:tc>
          <w:tcPr>
            <w:tcW w:type="dxa" w:w="7160"/>
            <w:shd w:fill="FFFFFF" w:val="clear"/>
            <w:tcMar>
              <w:top w:type="dxa" w:w="70"/>
              <w:left w:type="dxa" w:w="120"/>
              <w:bottom w:type="dxa" w:w="70"/>
              <w:right w:type="dxa" w:w="120"/>
            </w:tcMar>
          </w:tcPr>
          <w:p>
            <w:r>
              <w:t xml:space="preserve">revenue, EBITDA, industry, geography, ownership, debt &amp; maturities, valuation, growth, margins, customer concentration, headcount, lifecycle stage</w:t>
            </w:r>
          </w:p>
        </w:tc>
      </w:tr>
      <w:tr>
        <w:tc>
          <w:tcPr>
            <w:tcW w:type="dxa" w:w="2200"/>
            <w:shd w:fill="EEF3F8" w:val="clear"/>
            <w:tcMar>
              <w:top w:type="dxa" w:w="70"/>
              <w:left w:type="dxa" w:w="120"/>
              <w:bottom w:type="dxa" w:w="70"/>
              <w:right w:type="dxa" w:w="120"/>
            </w:tcMar>
          </w:tcPr>
          <w:p>
            <w:r>
              <w:t xml:space="preserve">Acquirer / Buyer</w:t>
            </w:r>
          </w:p>
        </w:tc>
        <w:tc>
          <w:tcPr>
            <w:tcW w:type="dxa" w:w="7160"/>
            <w:shd w:fill="EEF3F8" w:val="clear"/>
            <w:tcMar>
              <w:top w:type="dxa" w:w="70"/>
              <w:left w:type="dxa" w:w="120"/>
              <w:bottom w:type="dxa" w:w="70"/>
              <w:right w:type="dxa" w:w="120"/>
            </w:tcMar>
          </w:tcPr>
          <w:p>
            <w:r>
              <w:t xml:space="preserve">strategic vs financial, sector preferences, deal-size appetite, geography, acquisition history, integration track record, financing capacity</w:t>
            </w:r>
          </w:p>
        </w:tc>
      </w:tr>
      <w:tr>
        <w:tc>
          <w:tcPr>
            <w:tcW w:type="dxa" w:w="2200"/>
            <w:shd w:fill="FFFFFF" w:val="clear"/>
            <w:tcMar>
              <w:top w:type="dxa" w:w="70"/>
              <w:left w:type="dxa" w:w="120"/>
              <w:bottom w:type="dxa" w:w="70"/>
              <w:right w:type="dxa" w:w="120"/>
            </w:tcMar>
          </w:tcPr>
          <w:p>
            <w:r>
              <w:t xml:space="preserve">Acquisition Lender</w:t>
            </w:r>
          </w:p>
        </w:tc>
        <w:tc>
          <w:tcPr>
            <w:tcW w:type="dxa" w:w="7160"/>
            <w:shd w:fill="FFFFFF" w:val="clear"/>
            <w:tcMar>
              <w:top w:type="dxa" w:w="70"/>
              <w:left w:type="dxa" w:w="120"/>
              <w:bottom w:type="dxa" w:w="70"/>
              <w:right w:type="dxa" w:w="120"/>
            </w:tcMar>
          </w:tcPr>
          <w:p>
            <w:r>
              <w:t xml:space="preserve">loan size range, industry appetite, collateral, instrument types (senior, mezz, ABL, unitranche), pricing, covenant style — for financing acquisitions, not company raises</w:t>
            </w:r>
          </w:p>
        </w:tc>
      </w:tr>
      <w:tr>
        <w:tc>
          <w:tcPr>
            <w:tcW w:type="dxa" w:w="2200"/>
            <w:shd w:fill="EEF3F8" w:val="clear"/>
            <w:tcMar>
              <w:top w:type="dxa" w:w="70"/>
              <w:left w:type="dxa" w:w="120"/>
              <w:bottom w:type="dxa" w:w="70"/>
              <w:right w:type="dxa" w:w="120"/>
            </w:tcMar>
          </w:tcPr>
          <w:p>
            <w:r>
              <w:t xml:space="preserve">Advisor</w:t>
            </w:r>
          </w:p>
        </w:tc>
        <w:tc>
          <w:tcPr>
            <w:tcW w:type="dxa" w:w="7160"/>
            <w:shd w:fill="EEF3F8" w:val="clear"/>
            <w:tcMar>
              <w:top w:type="dxa" w:w="70"/>
              <w:left w:type="dxa" w:w="120"/>
              <w:bottom w:type="dxa" w:w="70"/>
              <w:right w:type="dxa" w:w="120"/>
            </w:tcMar>
          </w:tcPr>
          <w:p>
            <w:r>
              <w:t xml:space="preserve">M&amp;A experience, sector specialization, deal-size band, jurisdiction, track record</w:t>
            </w:r>
          </w:p>
        </w:tc>
      </w:tr>
      <w:tr>
        <w:tc>
          <w:tcPr>
            <w:tcW w:type="dxa" w:w="2200"/>
            <w:shd w:fill="FFFFFF" w:val="clear"/>
            <w:tcMar>
              <w:top w:type="dxa" w:w="70"/>
              <w:left w:type="dxa" w:w="120"/>
              <w:bottom w:type="dxa" w:w="70"/>
              <w:right w:type="dxa" w:w="120"/>
            </w:tcMar>
          </w:tcPr>
          <w:p>
            <w:r>
              <w:t xml:space="preserve">Acquisition Target</w:t>
            </w:r>
          </w:p>
        </w:tc>
        <w:tc>
          <w:tcPr>
            <w:tcW w:type="dxa" w:w="7160"/>
            <w:shd w:fill="FFFFFF" w:val="clear"/>
            <w:tcMar>
              <w:top w:type="dxa" w:w="70"/>
              <w:left w:type="dxa" w:w="120"/>
              <w:bottom w:type="dxa" w:w="70"/>
              <w:right w:type="dxa" w:w="120"/>
            </w:tcMar>
          </w:tcPr>
          <w:p>
            <w:r>
              <w:t xml:space="preserve">synergies, ownership &amp; succession, growth, profitability, owner age, valuation expectation, integration complexity</w:t>
            </w:r>
          </w:p>
        </w:tc>
      </w:tr>
      <w:tr>
        <w:tc>
          <w:tcPr>
            <w:tcW w:type="dxa" w:w="2200"/>
            <w:shd w:fill="EEF3F8" w:val="clear"/>
            <w:tcMar>
              <w:top w:type="dxa" w:w="70"/>
              <w:left w:type="dxa" w:w="120"/>
              <w:bottom w:type="dxa" w:w="70"/>
              <w:right w:type="dxa" w:w="120"/>
            </w:tcMar>
          </w:tcPr>
          <w:p>
            <w:r>
              <w:t xml:space="preserve">Public Market Data</w:t>
            </w:r>
          </w:p>
        </w:tc>
        <w:tc>
          <w:tcPr>
            <w:tcW w:type="dxa" w:w="7160"/>
            <w:shd w:fill="EEF3F8" w:val="clear"/>
            <w:tcMar>
              <w:top w:type="dxa" w:w="70"/>
              <w:left w:type="dxa" w:w="120"/>
              <w:bottom w:type="dxa" w:w="70"/>
              <w:right w:type="dxa" w:w="120"/>
            </w:tcMar>
          </w:tcPr>
          <w:p>
            <w:r>
              <w:t xml:space="preserve">sector valuation multiples &amp; comparable-transaction data as M&amp;A benchmarks (not for IPO/raise planning)</w:t>
            </w:r>
          </w:p>
        </w:tc>
      </w:tr>
    </w:tbl>
    <w:p>
      <w:pPr>
        <w:spacing w:after="120" w:line="276"/>
      </w:pPr>
      <w:r>
        <w:rPr>
          <w:b/>
          <w:bCs/>
        </w:rPr>
        <w:t xml:space="preserve">Additional nodes (gaps in the original list):</w:t>
      </w:r>
      <w:r>
        <w:t xml:space="preserve"> Person, Transaction (every M&amp;A deal, divestiture, merger, partnership — first-class), Document/Artifact, Market/Geography, Industry, and the Trust Profile (Section 8, L1) attached to every participant.</w:t>
      </w:r>
    </w:p>
    <w:p>
      <w:pPr>
        <w:pStyle w:val="Heading2"/>
      </w:pPr>
      <w:r>
        <w:t xml:space="preserve">3.2 Edge types</w:t>
      </w:r>
    </w:p>
    <w:p>
      <w:pPr>
        <w:spacing w:after="120" w:line="276"/>
      </w:pPr>
      <w:r>
        <w:t xml:space="preserve">acquired, merged_with, sold_to, partnered_with, advised_on, lent_to (acquisition financing), supplies, distributes_for, competes_with, board_member_of, employed_at, comparable_to, owns, controls, transacted_with, referred, rated. Each edge carries timestamp, amount/terms, and source.</w:t>
      </w:r>
    </w:p>
    <w:p>
      <w:pPr>
        <w:pStyle w:val="Heading2"/>
      </w:pPr>
      <w:r>
        <w:t xml:space="preserve">3.3 Why it compounds</w:t>
      </w:r>
    </w:p>
    <w:p>
      <w:pPr>
        <w:spacing w:after="120" w:line="276"/>
      </w:pPr>
      <w:r>
        <w:t xml:space="preserve">Every company is a node; every relationship an edge; every transaction a permanent record. </w:t>
      </w:r>
      <w:r>
        <w:rPr>
          <w:b/>
          <w:bCs/>
        </w:rPr>
        <w:t xml:space="preserve">Design rule: every engine output and every marketplace action writes back to the graph</w:t>
      </w:r>
      <w:r>
        <w:t xml:space="preserve"> — the recommendation, the user's choice, counterparty behavior, and eventually the outcome.</w:t>
      </w:r>
    </w:p>
    <w:p>
      <w:pPr>
        <w:pStyle w:val="Heading2"/>
      </w:pPr>
      <w:r>
        <w:t xml:space="preserve">3.4 Build artifacts for the agent</w:t>
      </w:r>
    </w:p>
    <w:p>
      <w:pPr>
        <w:pStyle w:val="ListParagraph"/>
        <w:numPr>
          <w:ilvl w:val="0"/>
          <w:numId w:val="2"/>
        </w:numPr>
        <w:spacing w:after="60"/>
      </w:pPr>
      <w:r>
        <w:t xml:space="preserve">Graph schema (node/edge/attribute definitions) with versioning, provenance, classification labels, and currency codes.</w:t>
      </w:r>
    </w:p>
    <w:p>
      <w:pPr>
        <w:pStyle w:val="ListParagraph"/>
        <w:numPr>
          <w:ilvl w:val="0"/>
          <w:numId w:val="2"/>
        </w:numPr>
        <w:spacing w:after="60"/>
      </w:pPr>
      <w:r>
        <w:t xml:space="preserve">Entity-resolution pipeline (dedupe companies/people across sources).</w:t>
      </w:r>
    </w:p>
    <w:p>
      <w:pPr>
        <w:pStyle w:val="ListParagraph"/>
        <w:numPr>
          <w:ilvl w:val="0"/>
          <w:numId w:val="2"/>
        </w:numPr>
        <w:spacing w:after="60"/>
      </w:pPr>
      <w:r>
        <w:t xml:space="preserve">Seed-data loaders for filings, news, and enrichment providers.</w:t>
      </w:r>
    </w:p>
    <w:p>
      <w:pPr>
        <w:pStyle w:val="ListParagraph"/>
        <w:numPr>
          <w:ilvl w:val="0"/>
          <w:numId w:val="2"/>
        </w:numPr>
        <w:spacing w:after="60"/>
      </w:pPr>
      <w:r>
        <w:t xml:space="preserve">Graph API (query by entity, traverse relationships, time-slice).</w:t>
      </w:r>
    </w:p>
    <w:p>
      <w:pPr>
        <w:pStyle w:val="Heading1"/>
      </w:pPr>
      <w:r>
        <w:t xml:space="preserve">4. The intelligence engines</w:t>
      </w:r>
    </w:p>
    <w:p>
      <w:pPr>
        <w:pBdr>
          <w:left w:val="single" w:color="2E75B6" w:sz="18" w:space="12"/>
        </w:pBdr>
        <w:spacing w:after="120" w:before="120"/>
        <w:ind w:left="240"/>
      </w:pPr>
      <w:r>
        <w:rPr>
          <w:i/>
          <w:iCs/>
          <w:color w:val="595959"/>
        </w:rPr>
        <w:t xml:space="preserve">Each engine is a recommender: it reads the graph, scores options, and returns ranked outputs with the evidence and confidence behind each score. None of them should ever return a number without a “why.”</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000"/>
        <w:gridCol w:w="3380"/>
        <w:gridCol w:w="2980"/>
      </w:tblGrid>
      <w:tr>
        <w:trPr>
          <w:tblHeader/>
        </w:trPr>
        <w:tc>
          <w:tcPr>
            <w:tcW w:type="dxa" w:w="3000"/>
            <w:shd w:fill="1F3864" w:val="clear"/>
            <w:tcMar>
              <w:top w:type="dxa" w:w="80"/>
              <w:left w:type="dxa" w:w="120"/>
              <w:bottom w:type="dxa" w:w="80"/>
              <w:right w:type="dxa" w:w="120"/>
            </w:tcMar>
          </w:tcPr>
          <w:p>
            <w:r>
              <w:rPr>
                <w:b/>
                <w:bCs/>
                <w:color w:val="FFFFFF"/>
                <w:sz w:val="20"/>
                <w:szCs w:val="20"/>
              </w:rPr>
              <w:t xml:space="preserve">Engine</w:t>
            </w:r>
          </w:p>
        </w:tc>
        <w:tc>
          <w:tcPr>
            <w:tcW w:type="dxa" w:w="3380"/>
            <w:shd w:fill="1F3864" w:val="clear"/>
            <w:tcMar>
              <w:top w:type="dxa" w:w="80"/>
              <w:left w:type="dxa" w:w="120"/>
              <w:bottom w:type="dxa" w:w="80"/>
              <w:right w:type="dxa" w:w="120"/>
            </w:tcMar>
          </w:tcPr>
          <w:p>
            <w:r>
              <w:rPr>
                <w:b/>
                <w:bCs/>
                <w:color w:val="FFFFFF"/>
                <w:sz w:val="20"/>
                <w:szCs w:val="20"/>
              </w:rPr>
              <w:t xml:space="preserve">What it does</w:t>
            </w:r>
          </w:p>
        </w:tc>
        <w:tc>
          <w:tcPr>
            <w:tcW w:type="dxa" w:w="2980"/>
            <w:shd w:fill="1F3864" w:val="clear"/>
            <w:tcMar>
              <w:top w:type="dxa" w:w="80"/>
              <w:left w:type="dxa" w:w="120"/>
              <w:bottom w:type="dxa" w:w="80"/>
              <w:right w:type="dxa" w:w="120"/>
            </w:tcMar>
          </w:tcPr>
          <w:p>
            <w:r>
              <w:rPr>
                <w:b/>
                <w:bCs/>
                <w:color w:val="FFFFFF"/>
                <w:sz w:val="20"/>
                <w:szCs w:val="20"/>
              </w:rPr>
              <w:t xml:space="preserve">Output / notes</w:t>
            </w:r>
          </w:p>
        </w:tc>
      </w:tr>
      <w:tr>
        <w:tc>
          <w:tcPr>
            <w:tcW w:type="dxa" w:w="3000"/>
            <w:shd w:fill="FFFFFF" w:val="clear"/>
            <w:tcMar>
              <w:top w:type="dxa" w:w="70"/>
              <w:left w:type="dxa" w:w="120"/>
              <w:bottom w:type="dxa" w:w="70"/>
              <w:right w:type="dxa" w:w="120"/>
            </w:tcMar>
          </w:tcPr>
          <w:p>
            <w:r>
              <w:t xml:space="preserve">#2 Corporate Opportunity</w:t>
            </w:r>
          </w:p>
        </w:tc>
        <w:tc>
          <w:tcPr>
            <w:tcW w:type="dxa" w:w="3380"/>
            <w:shd w:fill="FFFFFF" w:val="clear"/>
            <w:tcMar>
              <w:top w:type="dxa" w:w="70"/>
              <w:left w:type="dxa" w:w="120"/>
              <w:bottom w:type="dxa" w:w="70"/>
              <w:right w:type="dxa" w:w="120"/>
            </w:tcMar>
          </w:tcPr>
          <w:p>
            <w:r>
              <w:t xml:space="preserve">Continuously asks “what transaction should management do next?”</w:t>
            </w:r>
          </w:p>
        </w:tc>
        <w:tc>
          <w:tcPr>
            <w:tcW w:type="dxa" w:w="2980"/>
            <w:shd w:fill="FFFFFF" w:val="clear"/>
            <w:tcMar>
              <w:top w:type="dxa" w:w="70"/>
              <w:left w:type="dxa" w:w="120"/>
              <w:bottom w:type="dxa" w:w="70"/>
              <w:right w:type="dxa" w:w="120"/>
            </w:tcMar>
          </w:tcPr>
          <w:p>
            <w:r>
              <w:t xml:space="preserve">Acquire Co A — Strategic 92, Synergy 87, +$8.2M rev, +$1.4M cost, Integration Low. Feeds Strategic Paths.</w:t>
            </w:r>
          </w:p>
        </w:tc>
      </w:tr>
      <w:tr>
        <w:tc>
          <w:tcPr>
            <w:tcW w:type="dxa" w:w="3000"/>
            <w:shd w:fill="EEF3F8" w:val="clear"/>
            <w:tcMar>
              <w:top w:type="dxa" w:w="70"/>
              <w:left w:type="dxa" w:w="120"/>
              <w:bottom w:type="dxa" w:w="70"/>
              <w:right w:type="dxa" w:w="120"/>
            </w:tcMar>
          </w:tcPr>
          <w:p>
            <w:r>
              <w:t xml:space="preserve">#3 Distress &amp; Inflection</w:t>
            </w:r>
          </w:p>
        </w:tc>
        <w:tc>
          <w:tcPr>
            <w:tcW w:type="dxa" w:w="3380"/>
            <w:shd w:fill="EEF3F8" w:val="clear"/>
            <w:tcMar>
              <w:top w:type="dxa" w:w="70"/>
              <w:left w:type="dxa" w:w="120"/>
              <w:bottom w:type="dxa" w:w="70"/>
              <w:right w:type="dxa" w:w="120"/>
            </w:tcMar>
          </w:tcPr>
          <w:p>
            <w:r>
              <w:t xml:space="preserve">Monitors runway, maturities, covenants, margins, concentration</w:t>
            </w:r>
          </w:p>
        </w:tc>
        <w:tc>
          <w:tcPr>
            <w:tcW w:type="dxa" w:w="2980"/>
            <w:shd w:fill="EEF3F8" w:val="clear"/>
            <w:tcMar>
              <w:top w:type="dxa" w:w="70"/>
              <w:left w:type="dxa" w:w="120"/>
              <w:bottom w:type="dxa" w:w="70"/>
              <w:right w:type="dxa" w:w="120"/>
            </w:tcMar>
          </w:tcPr>
          <w:p>
            <w:r>
              <w:t xml:space="preserve">“Becomes an acquisition target within 9 months: 74%”; detects risk and opportunity — never assumes distress.</w:t>
            </w:r>
          </w:p>
        </w:tc>
      </w:tr>
      <w:tr>
        <w:tc>
          <w:tcPr>
            <w:tcW w:type="dxa" w:w="3000"/>
            <w:shd w:fill="FFFFFF" w:val="clear"/>
            <w:tcMar>
              <w:top w:type="dxa" w:w="70"/>
              <w:left w:type="dxa" w:w="120"/>
              <w:bottom w:type="dxa" w:w="70"/>
              <w:right w:type="dxa" w:w="120"/>
            </w:tcMar>
          </w:tcPr>
          <w:p>
            <w:r>
              <w:t xml:space="preserve">#4 Roll-Up Intelligence</w:t>
            </w:r>
          </w:p>
        </w:tc>
        <w:tc>
          <w:tcPr>
            <w:tcW w:type="dxa" w:w="3380"/>
            <w:shd w:fill="FFFFFF" w:val="clear"/>
            <w:tcMar>
              <w:top w:type="dxa" w:w="70"/>
              <w:left w:type="dxa" w:w="120"/>
              <w:bottom w:type="dxa" w:w="70"/>
              <w:right w:type="dxa" w:w="120"/>
            </w:tcMar>
          </w:tcPr>
          <w:p>
            <w:r>
              <w:t xml:space="preserve">Automates roll-up discovery &amp; sequencing (signature)</w:t>
            </w:r>
          </w:p>
        </w:tc>
        <w:tc>
          <w:tcPr>
            <w:tcW w:type="dxa" w:w="2980"/>
            <w:shd w:fill="FFFFFF" w:val="clear"/>
            <w:tcMar>
              <w:top w:type="dxa" w:w="70"/>
              <w:left w:type="dxa" w:w="120"/>
              <w:bottom w:type="dxa" w:w="70"/>
              <w:right w:type="dxa" w:w="120"/>
            </w:tcMar>
          </w:tcPr>
          <w:p>
            <w:r>
              <w:t xml:space="preserve">247 HVAC targets ranked; Roll-Up Map (anchor, bolt-ons, sequence, acquisition financing).</w:t>
            </w:r>
          </w:p>
        </w:tc>
      </w:tr>
      <w:tr>
        <w:tc>
          <w:tcPr>
            <w:tcW w:type="dxa" w:w="3000"/>
            <w:shd w:fill="EEF3F8" w:val="clear"/>
            <w:tcMar>
              <w:top w:type="dxa" w:w="70"/>
              <w:left w:type="dxa" w:w="120"/>
              <w:bottom w:type="dxa" w:w="70"/>
              <w:right w:type="dxa" w:w="120"/>
            </w:tcMar>
          </w:tcPr>
          <w:p>
            <w:r>
              <w:t xml:space="preserve">#5 Sell-Side Readiness</w:t>
            </w:r>
          </w:p>
        </w:tc>
        <w:tc>
          <w:tcPr>
            <w:tcW w:type="dxa" w:w="3380"/>
            <w:shd w:fill="EEF3F8" w:val="clear"/>
            <w:tcMar>
              <w:top w:type="dxa" w:w="70"/>
              <w:left w:type="dxa" w:w="120"/>
              <w:bottom w:type="dxa" w:w="70"/>
              <w:right w:type="dxa" w:w="120"/>
            </w:tcMar>
          </w:tcPr>
          <w:p>
            <w:r>
              <w:t xml:space="preserve">Exit-readiness tracker — contracts, HR, tax, legal, financials</w:t>
            </w:r>
          </w:p>
        </w:tc>
        <w:tc>
          <w:tcPr>
            <w:tcW w:type="dxa" w:w="2980"/>
            <w:shd w:fill="EEF3F8" w:val="clear"/>
            <w:tcMar>
              <w:top w:type="dxa" w:w="70"/>
              <w:left w:type="dxa" w:w="120"/>
              <w:bottom w:type="dxa" w:w="70"/>
              <w:right w:type="dxa" w:w="120"/>
            </w:tcMar>
          </w:tcPr>
          <w:p>
            <w:r>
              <w:t xml:space="preserve">Exit Readiness 87% + prioritized missing items.</w:t>
            </w:r>
          </w:p>
        </w:tc>
      </w:tr>
      <w:tr>
        <w:tc>
          <w:tcPr>
            <w:tcW w:type="dxa" w:w="3000"/>
            <w:shd w:fill="FFFFFF" w:val="clear"/>
            <w:tcMar>
              <w:top w:type="dxa" w:w="70"/>
              <w:left w:type="dxa" w:w="120"/>
              <w:bottom w:type="dxa" w:w="70"/>
              <w:right w:type="dxa" w:w="120"/>
            </w:tcMar>
          </w:tcPr>
          <w:p>
            <w:r>
              <w:t xml:space="preserve">#6 Buy-Side Intelligence</w:t>
            </w:r>
          </w:p>
        </w:tc>
        <w:tc>
          <w:tcPr>
            <w:tcW w:type="dxa" w:w="3380"/>
            <w:shd w:fill="FFFFFF" w:val="clear"/>
            <w:tcMar>
              <w:top w:type="dxa" w:w="70"/>
              <w:left w:type="dxa" w:w="120"/>
              <w:bottom w:type="dxa" w:w="70"/>
              <w:right w:type="dxa" w:w="120"/>
            </w:tcMar>
          </w:tcPr>
          <w:p>
            <w:r>
              <w:t xml:space="preserve">Strategic / Financial / Distressed / Technology targets</w:t>
            </w:r>
          </w:p>
        </w:tc>
        <w:tc>
          <w:tcPr>
            <w:tcW w:type="dxa" w:w="2980"/>
            <w:shd w:fill="FFFFFF" w:val="clear"/>
            <w:tcMar>
              <w:top w:type="dxa" w:w="70"/>
              <w:left w:type="dxa" w:w="120"/>
              <w:bottom w:type="dxa" w:w="70"/>
              <w:right w:type="dxa" w:w="120"/>
            </w:tcMar>
          </w:tcPr>
          <w:p>
            <w:r>
              <w:t xml:space="preserve">Scores fit, revenue/margin synergy, integration complexity.</w:t>
            </w:r>
          </w:p>
        </w:tc>
      </w:tr>
      <w:tr>
        <w:tc>
          <w:tcPr>
            <w:tcW w:type="dxa" w:w="3000"/>
            <w:shd w:fill="EEF3F8" w:val="clear"/>
            <w:tcMar>
              <w:top w:type="dxa" w:w="70"/>
              <w:left w:type="dxa" w:w="120"/>
              <w:bottom w:type="dxa" w:w="70"/>
              <w:right w:type="dxa" w:w="120"/>
            </w:tcMar>
          </w:tcPr>
          <w:p>
            <w:r>
              <w:t xml:space="preserve">#7 Transaction Timing</w:t>
            </w:r>
          </w:p>
        </w:tc>
        <w:tc>
          <w:tcPr>
            <w:tcW w:type="dxa" w:w="3380"/>
            <w:shd w:fill="EEF3F8" w:val="clear"/>
            <w:tcMar>
              <w:top w:type="dxa" w:w="70"/>
              <w:left w:type="dxa" w:w="120"/>
              <w:bottom w:type="dxa" w:w="70"/>
              <w:right w:type="dxa" w:w="120"/>
            </w:tcMar>
          </w:tcPr>
          <w:p>
            <w:r>
              <w:t xml:space="preserve">Sector M&amp;A valuations, buyer appetite, consolidation cycles, acquisition-financing liquidity</w:t>
            </w:r>
          </w:p>
        </w:tc>
        <w:tc>
          <w:tcPr>
            <w:tcW w:type="dxa" w:w="2980"/>
            <w:shd w:fill="EEF3F8" w:val="clear"/>
            <w:tcMar>
              <w:top w:type="dxa" w:w="70"/>
              <w:left w:type="dxa" w:w="120"/>
              <w:bottom w:type="dxa" w:w="70"/>
              <w:right w:type="dxa" w:w="120"/>
            </w:tcMar>
          </w:tcPr>
          <w:p>
            <w:r>
              <w:t xml:space="preserve">“Strong seller's market — sell now / wait two quarters” with evidence. No raise/IPO timing.</w:t>
            </w:r>
          </w:p>
        </w:tc>
      </w:tr>
      <w:tr>
        <w:tc>
          <w:tcPr>
            <w:tcW w:type="dxa" w:w="3000"/>
            <w:shd w:fill="FFFFFF" w:val="clear"/>
            <w:tcMar>
              <w:top w:type="dxa" w:w="70"/>
              <w:left w:type="dxa" w:w="120"/>
              <w:bottom w:type="dxa" w:w="70"/>
              <w:right w:type="dxa" w:w="120"/>
            </w:tcMar>
          </w:tcPr>
          <w:p>
            <w:r>
              <w:t xml:space="preserve">#8 Acquirer &amp; Capital Network</w:t>
            </w:r>
          </w:p>
        </w:tc>
        <w:tc>
          <w:tcPr>
            <w:tcW w:type="dxa" w:w="3380"/>
            <w:shd w:fill="FFFFFF" w:val="clear"/>
            <w:tcMar>
              <w:top w:type="dxa" w:w="70"/>
              <w:left w:type="dxa" w:w="120"/>
              <w:bottom w:type="dxa" w:w="70"/>
              <w:right w:type="dxa" w:w="120"/>
            </w:tcMar>
          </w:tcPr>
          <w:p>
            <w:r>
              <w:t xml:space="preserve">Strategic Acquirer / PE Buyer / Family-Office Buyer graphs + acquisition lenders</w:t>
            </w:r>
          </w:p>
        </w:tc>
        <w:tc>
          <w:tcPr>
            <w:tcW w:type="dxa" w:w="2980"/>
            <w:shd w:fill="FFFFFF" w:val="clear"/>
            <w:tcMar>
              <w:top w:type="dxa" w:w="70"/>
              <w:left w:type="dxa" w:w="120"/>
              <w:bottom w:type="dxa" w:w="70"/>
              <w:right w:type="dxa" w:w="120"/>
            </w:tcMar>
          </w:tcPr>
          <w:p>
            <w:r>
              <w:t xml:space="preserve">“38 buyers/sponsors actively acquiring in comparable companies.”</w:t>
            </w:r>
          </w:p>
        </w:tc>
      </w:tr>
      <w:tr>
        <w:tc>
          <w:tcPr>
            <w:tcW w:type="dxa" w:w="3000"/>
            <w:shd w:fill="EEF3F8" w:val="clear"/>
            <w:tcMar>
              <w:top w:type="dxa" w:w="70"/>
              <w:left w:type="dxa" w:w="120"/>
              <w:bottom w:type="dxa" w:w="70"/>
              <w:right w:type="dxa" w:w="120"/>
            </w:tcMar>
          </w:tcPr>
          <w:p>
            <w:r>
              <w:t xml:space="preserve">#9 Strategic Relationship</w:t>
            </w:r>
          </w:p>
        </w:tc>
        <w:tc>
          <w:tcPr>
            <w:tcW w:type="dxa" w:w="3380"/>
            <w:shd w:fill="EEF3F8" w:val="clear"/>
            <w:tcMar>
              <w:top w:type="dxa" w:w="70"/>
              <w:left w:type="dxa" w:w="120"/>
              <w:bottom w:type="dxa" w:w="70"/>
              <w:right w:type="dxa" w:w="120"/>
            </w:tcMar>
          </w:tcPr>
          <w:p>
            <w:r>
              <w:t xml:space="preserve">Suppliers, distributors, channel &amp; JV partners</w:t>
            </w:r>
          </w:p>
        </w:tc>
        <w:tc>
          <w:tcPr>
            <w:tcW w:type="dxa" w:w="2980"/>
            <w:shd w:fill="EEF3F8" w:val="clear"/>
            <w:tcMar>
              <w:top w:type="dxa" w:w="70"/>
              <w:left w:type="dxa" w:w="120"/>
              <w:bottom w:type="dxa" w:w="70"/>
              <w:right w:type="dxa" w:w="120"/>
            </w:tcMar>
          </w:tcPr>
          <w:p>
            <w:r>
              <w:t xml:space="preserve">Feeds Strategic Partnership and JV paths.</w:t>
            </w:r>
          </w:p>
        </w:tc>
      </w:tr>
      <w:tr>
        <w:tc>
          <w:tcPr>
            <w:tcW w:type="dxa" w:w="3000"/>
            <w:shd w:fill="FFFFFF" w:val="clear"/>
            <w:tcMar>
              <w:top w:type="dxa" w:w="70"/>
              <w:left w:type="dxa" w:w="120"/>
              <w:bottom w:type="dxa" w:w="70"/>
              <w:right w:type="dxa" w:w="120"/>
            </w:tcMar>
          </w:tcPr>
          <w:p>
            <w:r>
              <w:t xml:space="preserve">#10 Corporate Digital Twin</w:t>
            </w:r>
          </w:p>
        </w:tc>
        <w:tc>
          <w:tcPr>
            <w:tcW w:type="dxa" w:w="3380"/>
            <w:shd w:fill="FFFFFF" w:val="clear"/>
            <w:tcMar>
              <w:top w:type="dxa" w:w="70"/>
              <w:left w:type="dxa" w:w="120"/>
              <w:bottom w:type="dxa" w:w="70"/>
              <w:right w:type="dxa" w:w="120"/>
            </w:tcMar>
          </w:tcPr>
          <w:p>
            <w:r>
              <w:t xml:space="preserve">Per-company Corporate DNA</w:t>
            </w:r>
          </w:p>
        </w:tc>
        <w:tc>
          <w:tcPr>
            <w:tcW w:type="dxa" w:w="2980"/>
            <w:shd w:fill="FFFFFF" w:val="clear"/>
            <w:tcMar>
              <w:top w:type="dxa" w:w="70"/>
              <w:left w:type="dxa" w:w="120"/>
              <w:bottom w:type="dxa" w:w="70"/>
              <w:right w:type="dxa" w:w="120"/>
            </w:tcMar>
          </w:tcPr>
          <w:p>
            <w:r>
              <w:t xml:space="preserve">Learns risk tolerance, acquisition appetite, transaction preferences; hardest to copy.</w:t>
            </w:r>
          </w:p>
        </w:tc>
      </w:tr>
      <w:tr>
        <w:tc>
          <w:tcPr>
            <w:tcW w:type="dxa" w:w="3000"/>
            <w:shd w:fill="EEF3F8" w:val="clear"/>
            <w:tcMar>
              <w:top w:type="dxa" w:w="70"/>
              <w:left w:type="dxa" w:w="120"/>
              <w:bottom w:type="dxa" w:w="70"/>
              <w:right w:type="dxa" w:w="120"/>
            </w:tcMar>
          </w:tcPr>
          <w:p>
            <w:r>
              <w:t xml:space="preserve">#11 Corporate Outcome (secret weapon)</w:t>
            </w:r>
          </w:p>
        </w:tc>
        <w:tc>
          <w:tcPr>
            <w:tcW w:type="dxa" w:w="3380"/>
            <w:shd w:fill="EEF3F8" w:val="clear"/>
            <w:tcMar>
              <w:top w:type="dxa" w:w="70"/>
              <w:left w:type="dxa" w:w="120"/>
              <w:bottom w:type="dxa" w:w="70"/>
              <w:right w:type="dxa" w:w="120"/>
            </w:tcMar>
          </w:tcPr>
          <w:p>
            <w:r>
              <w:t xml:space="preserve">Matches profile vs thousands of historical cases</w:t>
            </w:r>
          </w:p>
        </w:tc>
        <w:tc>
          <w:tcPr>
            <w:tcW w:type="dxa" w:w="2980"/>
            <w:shd w:fill="EEF3F8" w:val="clear"/>
            <w:tcMar>
              <w:top w:type="dxa" w:w="70"/>
              <w:left w:type="dxa" w:w="120"/>
              <w:bottom w:type="dxa" w:w="70"/>
              <w:right w:type="dxa" w:w="120"/>
            </w:tcMar>
          </w:tcPr>
          <w:p>
            <w:r>
              <w:t xml:space="preserve">“Companies like yours created most value via mergers, not independent growth.”</w:t>
            </w:r>
          </w:p>
        </w:tc>
      </w:tr>
    </w:tbl>
    <w:p>
      <w:pPr>
        <w:spacing w:after="120" w:line="276"/>
      </w:pPr>
      <w:r>
        <w:t xml:space="preserve">*(Engine numbering preserves the original IDs; the former “Capital Markets Timing” and “Institutional Capital Network” engines have been re-pointed at transaction timing and the acquirer/buyer network respectively, consistent with the no-raise / no-IPO scope.)*</w:t>
      </w:r>
    </w:p>
    <w:p>
      <w:pPr>
        <w:pStyle w:val="Heading1"/>
      </w:pPr>
      <w:r>
        <w:t xml:space="preserve">5. The Strategic Paths Engine™ (flagship decision surface)</w:t>
      </w:r>
    </w:p>
    <w:p>
      <w:pPr>
        <w:spacing w:after="120" w:line="276"/>
      </w:pPr>
      <w:r>
        <w:t xml:space="preserve">The expanded framework assumes every company has transactional options and works for healthy, growth, distressed, private, family-owned, and PE-backed companies alike.</w:t>
      </w:r>
    </w:p>
    <w:p>
      <w:pPr>
        <w:pStyle w:val="Heading2"/>
      </w:pPr>
      <w:r>
        <w:t xml:space="preserve">5.1 The full path catalog</w:t>
      </w:r>
    </w:p>
    <w:p>
      <w:pPr>
        <w:spacing w:after="120" w:line="276"/>
      </w:pPr>
      <w:r>
        <w:t xml:space="preserve">Grouped by intent. (Capital-raise and public-markets paths from earlier drafts have been removed to match scope.)</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1500"/>
        <w:gridCol w:w="3300"/>
        <w:gridCol w:w="2660"/>
        <w:gridCol w:w="1900"/>
      </w:tblGrid>
      <w:tr>
        <w:trPr>
          <w:tblHeader/>
        </w:trPr>
        <w:tc>
          <w:tcPr>
            <w:tcW w:type="dxa" w:w="1500"/>
            <w:shd w:fill="1F3864" w:val="clear"/>
            <w:tcMar>
              <w:top w:type="dxa" w:w="80"/>
              <w:left w:type="dxa" w:w="120"/>
              <w:bottom w:type="dxa" w:w="80"/>
              <w:right w:type="dxa" w:w="120"/>
            </w:tcMar>
          </w:tcPr>
          <w:p>
            <w:r>
              <w:rPr>
                <w:b/>
                <w:bCs/>
                <w:color w:val="FFFFFF"/>
                <w:sz w:val="20"/>
                <w:szCs w:val="20"/>
              </w:rPr>
              <w:t xml:space="preserve">Intent</w:t>
            </w:r>
          </w:p>
        </w:tc>
        <w:tc>
          <w:tcPr>
            <w:tcW w:type="dxa" w:w="3300"/>
            <w:shd w:fill="1F3864" w:val="clear"/>
            <w:tcMar>
              <w:top w:type="dxa" w:w="80"/>
              <w:left w:type="dxa" w:w="120"/>
              <w:bottom w:type="dxa" w:w="80"/>
              <w:right w:type="dxa" w:w="120"/>
            </w:tcMar>
          </w:tcPr>
          <w:p>
            <w:r>
              <w:rPr>
                <w:b/>
                <w:bCs/>
                <w:color w:val="FFFFFF"/>
                <w:sz w:val="20"/>
                <w:szCs w:val="20"/>
              </w:rPr>
              <w:t xml:space="preserve">Path</w:t>
            </w:r>
          </w:p>
        </w:tc>
        <w:tc>
          <w:tcPr>
            <w:tcW w:type="dxa" w:w="2660"/>
            <w:shd w:fill="1F3864" w:val="clear"/>
            <w:tcMar>
              <w:top w:type="dxa" w:w="80"/>
              <w:left w:type="dxa" w:w="120"/>
              <w:bottom w:type="dxa" w:w="80"/>
              <w:right w:type="dxa" w:w="120"/>
            </w:tcMar>
          </w:tcPr>
          <w:p>
            <w:r>
              <w:rPr>
                <w:b/>
                <w:bCs/>
                <w:color w:val="FFFFFF"/>
                <w:sz w:val="20"/>
                <w:szCs w:val="20"/>
              </w:rPr>
              <w:t xml:space="preserve">Goal</w:t>
            </w:r>
          </w:p>
        </w:tc>
        <w:tc>
          <w:tcPr>
            <w:tcW w:type="dxa" w:w="1900"/>
            <w:shd w:fill="1F3864" w:val="clear"/>
            <w:tcMar>
              <w:top w:type="dxa" w:w="80"/>
              <w:left w:type="dxa" w:w="120"/>
              <w:bottom w:type="dxa" w:w="80"/>
              <w:right w:type="dxa" w:w="120"/>
            </w:tcMar>
          </w:tcPr>
          <w:p>
            <w:r>
              <w:rPr>
                <w:b/>
                <w:bCs/>
                <w:color w:val="FFFFFF"/>
                <w:sz w:val="20"/>
                <w:szCs w:val="20"/>
              </w:rPr>
              <w:t xml:space="preserve">Example output</w:t>
            </w:r>
          </w:p>
        </w:tc>
      </w:tr>
      <w:tr>
        <w:tc>
          <w:tcPr>
            <w:tcW w:type="dxa" w:w="1500"/>
            <w:shd w:fill="FFFFFF" w:val="clear"/>
            <w:tcMar>
              <w:top w:type="dxa" w:w="70"/>
              <w:left w:type="dxa" w:w="120"/>
              <w:bottom w:type="dxa" w:w="70"/>
              <w:right w:type="dxa" w:w="120"/>
            </w:tcMar>
          </w:tcPr>
          <w:p>
            <w:r>
              <w:t xml:space="preserve">Grow</w:t>
            </w:r>
          </w:p>
        </w:tc>
        <w:tc>
          <w:tcPr>
            <w:tcW w:type="dxa" w:w="3300"/>
            <w:shd w:fill="FFFFFF" w:val="clear"/>
            <w:tcMar>
              <w:top w:type="dxa" w:w="70"/>
              <w:left w:type="dxa" w:w="120"/>
              <w:bottom w:type="dxa" w:w="70"/>
              <w:right w:type="dxa" w:w="120"/>
            </w:tcMar>
          </w:tcPr>
          <w:p>
            <w:r>
              <w:t xml:space="preserve">1. Grow Independently</w:t>
            </w:r>
          </w:p>
        </w:tc>
        <w:tc>
          <w:tcPr>
            <w:tcW w:type="dxa" w:w="2660"/>
            <w:shd w:fill="FFFFFF" w:val="clear"/>
            <w:tcMar>
              <w:top w:type="dxa" w:w="70"/>
              <w:left w:type="dxa" w:w="120"/>
              <w:bottom w:type="dxa" w:w="70"/>
              <w:right w:type="dxa" w:w="120"/>
            </w:tcMar>
          </w:tcPr>
          <w:p>
            <w:r>
              <w:t xml:space="preserve">Maximize value internally</w:t>
            </w:r>
          </w:p>
        </w:tc>
        <w:tc>
          <w:tcPr>
            <w:tcW w:type="dxa" w:w="1900"/>
            <w:shd w:fill="FFFFFF" w:val="clear"/>
            <w:tcMar>
              <w:top w:type="dxa" w:w="70"/>
              <w:left w:type="dxa" w:w="120"/>
              <w:bottom w:type="dxa" w:w="70"/>
              <w:right w:type="dxa" w:w="120"/>
            </w:tcMar>
          </w:tcPr>
          <w:p>
            <w:r>
              <w:t xml:space="preserve">Growth 92; EV 36 mo $125M; 17 actions</w:t>
            </w:r>
          </w:p>
        </w:tc>
      </w:tr>
      <w:tr>
        <w:tc>
          <w:tcPr>
            <w:tcW w:type="dxa" w:w="1500"/>
            <w:shd w:fill="EEF3F8" w:val="clear"/>
            <w:tcMar>
              <w:top w:type="dxa" w:w="70"/>
              <w:left w:type="dxa" w:w="120"/>
              <w:bottom w:type="dxa" w:w="70"/>
              <w:right w:type="dxa" w:w="120"/>
            </w:tcMar>
          </w:tcPr>
          <w:p>
            <w:r>
              <w:t xml:space="preserve">Grow</w:t>
            </w:r>
          </w:p>
        </w:tc>
        <w:tc>
          <w:tcPr>
            <w:tcW w:type="dxa" w:w="3300"/>
            <w:shd w:fill="EEF3F8" w:val="clear"/>
            <w:tcMar>
              <w:top w:type="dxa" w:w="70"/>
              <w:left w:type="dxa" w:w="120"/>
              <w:bottom w:type="dxa" w:w="70"/>
              <w:right w:type="dxa" w:w="120"/>
            </w:tcMar>
          </w:tcPr>
          <w:p>
            <w:r>
              <w:t xml:space="preserve">14. Geographic Expansion</w:t>
            </w:r>
          </w:p>
        </w:tc>
        <w:tc>
          <w:tcPr>
            <w:tcW w:type="dxa" w:w="2660"/>
            <w:shd w:fill="EEF3F8" w:val="clear"/>
            <w:tcMar>
              <w:top w:type="dxa" w:w="70"/>
              <w:left w:type="dxa" w:w="120"/>
              <w:bottom w:type="dxa" w:w="70"/>
              <w:right w:type="dxa" w:w="120"/>
            </w:tcMar>
          </w:tcPr>
          <w:p>
            <w:r>
              <w:t xml:space="preserve">Markets for max value</w:t>
            </w:r>
          </w:p>
        </w:tc>
        <w:tc>
          <w:tcPr>
            <w:tcW w:type="dxa" w:w="1900"/>
            <w:shd w:fill="EEF3F8" w:val="clear"/>
            <w:tcMar>
              <w:top w:type="dxa" w:w="70"/>
              <w:left w:type="dxa" w:w="120"/>
              <w:bottom w:type="dxa" w:w="70"/>
              <w:right w:type="dxa" w:w="120"/>
            </w:tcMar>
          </w:tcPr>
          <w:p>
            <w:r>
              <w:t xml:space="preserve">Ranked expansion markets</w:t>
            </w:r>
          </w:p>
        </w:tc>
      </w:tr>
      <w:tr>
        <w:tc>
          <w:tcPr>
            <w:tcW w:type="dxa" w:w="1500"/>
            <w:shd w:fill="FFFFFF" w:val="clear"/>
            <w:tcMar>
              <w:top w:type="dxa" w:w="70"/>
              <w:left w:type="dxa" w:w="120"/>
              <w:bottom w:type="dxa" w:w="70"/>
              <w:right w:type="dxa" w:w="120"/>
            </w:tcMar>
          </w:tcPr>
          <w:p>
            <w:r>
              <w:t xml:space="preserve">Grow</w:t>
            </w:r>
          </w:p>
        </w:tc>
        <w:tc>
          <w:tcPr>
            <w:tcW w:type="dxa" w:w="3300"/>
            <w:shd w:fill="FFFFFF" w:val="clear"/>
            <w:tcMar>
              <w:top w:type="dxa" w:w="70"/>
              <w:left w:type="dxa" w:w="120"/>
              <w:bottom w:type="dxa" w:w="70"/>
              <w:right w:type="dxa" w:w="120"/>
            </w:tcMar>
          </w:tcPr>
          <w:p>
            <w:r>
              <w:t xml:space="preserve">12. Licensing / Franchise</w:t>
            </w:r>
          </w:p>
        </w:tc>
        <w:tc>
          <w:tcPr>
            <w:tcW w:type="dxa" w:w="2660"/>
            <w:shd w:fill="FFFFFF" w:val="clear"/>
            <w:tcMar>
              <w:top w:type="dxa" w:w="70"/>
              <w:left w:type="dxa" w:w="120"/>
              <w:bottom w:type="dxa" w:w="70"/>
              <w:right w:type="dxa" w:w="120"/>
            </w:tcMar>
          </w:tcPr>
          <w:p>
            <w:r>
              <w:t xml:space="preserve">License/franchise/white-label</w:t>
            </w:r>
          </w:p>
        </w:tc>
        <w:tc>
          <w:tcPr>
            <w:tcW w:type="dxa" w:w="1900"/>
            <w:shd w:fill="FFFFFF" w:val="clear"/>
            <w:tcMar>
              <w:top w:type="dxa" w:w="70"/>
              <w:left w:type="dxa" w:w="120"/>
              <w:bottom w:type="dxa" w:w="70"/>
              <w:right w:type="dxa" w:w="120"/>
            </w:tcMar>
          </w:tcPr>
          <w:p>
            <w:r>
              <w:t xml:space="preserve">License vs sell analysis</w:t>
            </w:r>
          </w:p>
        </w:tc>
      </w:tr>
      <w:tr>
        <w:tc>
          <w:tcPr>
            <w:tcW w:type="dxa" w:w="1500"/>
            <w:shd w:fill="EEF3F8" w:val="clear"/>
            <w:tcMar>
              <w:top w:type="dxa" w:w="70"/>
              <w:left w:type="dxa" w:w="120"/>
              <w:bottom w:type="dxa" w:w="70"/>
              <w:right w:type="dxa" w:w="120"/>
            </w:tcMar>
          </w:tcPr>
          <w:p>
            <w:r>
              <w:t xml:space="preserve">Combine</w:t>
            </w:r>
          </w:p>
        </w:tc>
        <w:tc>
          <w:tcPr>
            <w:tcW w:type="dxa" w:w="3300"/>
            <w:shd w:fill="EEF3F8" w:val="clear"/>
            <w:tcMar>
              <w:top w:type="dxa" w:w="70"/>
              <w:left w:type="dxa" w:w="120"/>
              <w:bottom w:type="dxa" w:w="70"/>
              <w:right w:type="dxa" w:w="120"/>
            </w:tcMar>
          </w:tcPr>
          <w:p>
            <w:r>
              <w:t xml:space="preserve">2. Strategic Merger</w:t>
            </w:r>
          </w:p>
        </w:tc>
        <w:tc>
          <w:tcPr>
            <w:tcW w:type="dxa" w:w="2660"/>
            <w:shd w:fill="EEF3F8" w:val="clear"/>
            <w:tcMar>
              <w:top w:type="dxa" w:w="70"/>
              <w:left w:type="dxa" w:w="120"/>
              <w:bottom w:type="dxa" w:w="70"/>
              <w:right w:type="dxa" w:w="120"/>
            </w:tcMar>
          </w:tcPr>
          <w:p>
            <w:r>
              <w:t xml:space="preserve">Combine with a peer</w:t>
            </w:r>
          </w:p>
        </w:tc>
        <w:tc>
          <w:tcPr>
            <w:tcW w:type="dxa" w:w="1900"/>
            <w:shd w:fill="EEF3F8" w:val="clear"/>
            <w:tcMar>
              <w:top w:type="dxa" w:w="70"/>
              <w:left w:type="dxa" w:w="120"/>
              <w:bottom w:type="dxa" w:w="70"/>
              <w:right w:type="dxa" w:w="120"/>
            </w:tcMar>
          </w:tcPr>
          <w:p>
            <w:r>
              <w:t xml:space="preserve">Synergy $7.4M/yr; +42% value</w:t>
            </w:r>
          </w:p>
        </w:tc>
      </w:tr>
      <w:tr>
        <w:tc>
          <w:tcPr>
            <w:tcW w:type="dxa" w:w="1500"/>
            <w:shd w:fill="FFFFFF" w:val="clear"/>
            <w:tcMar>
              <w:top w:type="dxa" w:w="70"/>
              <w:left w:type="dxa" w:w="120"/>
              <w:bottom w:type="dxa" w:w="70"/>
              <w:right w:type="dxa" w:w="120"/>
            </w:tcMar>
          </w:tcPr>
          <w:p>
            <w:r>
              <w:t xml:space="preserve">Combine</w:t>
            </w:r>
          </w:p>
        </w:tc>
        <w:tc>
          <w:tcPr>
            <w:tcW w:type="dxa" w:w="3300"/>
            <w:shd w:fill="FFFFFF" w:val="clear"/>
            <w:tcMar>
              <w:top w:type="dxa" w:w="70"/>
              <w:left w:type="dxa" w:w="120"/>
              <w:bottom w:type="dxa" w:w="70"/>
              <w:right w:type="dxa" w:w="120"/>
            </w:tcMar>
          </w:tcPr>
          <w:p>
            <w:r>
              <w:t xml:space="preserve">11. Strategic Partnership</w:t>
            </w:r>
          </w:p>
        </w:tc>
        <w:tc>
          <w:tcPr>
            <w:tcW w:type="dxa" w:w="2660"/>
            <w:shd w:fill="FFFFFF" w:val="clear"/>
            <w:tcMar>
              <w:top w:type="dxa" w:w="70"/>
              <w:left w:type="dxa" w:w="120"/>
              <w:bottom w:type="dxa" w:w="70"/>
              <w:right w:type="dxa" w:w="120"/>
            </w:tcMar>
          </w:tcPr>
          <w:p>
            <w:r>
              <w:t xml:space="preserve">Distribution / mfg / tech / sales</w:t>
            </w:r>
          </w:p>
        </w:tc>
        <w:tc>
          <w:tcPr>
            <w:tcW w:type="dxa" w:w="1900"/>
            <w:shd w:fill="FFFFFF" w:val="clear"/>
            <w:tcMar>
              <w:top w:type="dxa" w:w="70"/>
              <w:left w:type="dxa" w:w="120"/>
              <w:bottom w:type="dxa" w:w="70"/>
              <w:right w:type="dxa" w:w="120"/>
            </w:tcMar>
          </w:tcPr>
          <w:p>
            <w:r>
              <w:t xml:space="preserve">Ranked partners (#9)</w:t>
            </w:r>
          </w:p>
        </w:tc>
      </w:tr>
      <w:tr>
        <w:tc>
          <w:tcPr>
            <w:tcW w:type="dxa" w:w="1500"/>
            <w:shd w:fill="EEF3F8" w:val="clear"/>
            <w:tcMar>
              <w:top w:type="dxa" w:w="70"/>
              <w:left w:type="dxa" w:w="120"/>
              <w:bottom w:type="dxa" w:w="70"/>
              <w:right w:type="dxa" w:w="120"/>
            </w:tcMar>
          </w:tcPr>
          <w:p>
            <w:r>
              <w:t xml:space="preserve">Combine</w:t>
            </w:r>
          </w:p>
        </w:tc>
        <w:tc>
          <w:tcPr>
            <w:tcW w:type="dxa" w:w="3300"/>
            <w:shd w:fill="EEF3F8" w:val="clear"/>
            <w:tcMar>
              <w:top w:type="dxa" w:w="70"/>
              <w:left w:type="dxa" w:w="120"/>
              <w:bottom w:type="dxa" w:w="70"/>
              <w:right w:type="dxa" w:w="120"/>
            </w:tcMar>
          </w:tcPr>
          <w:p>
            <w:r>
              <w:t xml:space="preserve">17. Joint Venture</w:t>
            </w:r>
          </w:p>
        </w:tc>
        <w:tc>
          <w:tcPr>
            <w:tcW w:type="dxa" w:w="2660"/>
            <w:shd w:fill="EEF3F8" w:val="clear"/>
            <w:tcMar>
              <w:top w:type="dxa" w:w="70"/>
              <w:left w:type="dxa" w:w="120"/>
              <w:bottom w:type="dxa" w:w="70"/>
              <w:right w:type="dxa" w:w="120"/>
            </w:tcMar>
          </w:tcPr>
          <w:p>
            <w:r>
              <w:t xml:space="preserve">Shared-equity vehicle</w:t>
            </w:r>
          </w:p>
        </w:tc>
        <w:tc>
          <w:tcPr>
            <w:tcW w:type="dxa" w:w="1900"/>
            <w:shd w:fill="EEF3F8" w:val="clear"/>
            <w:tcMar>
              <w:top w:type="dxa" w:w="70"/>
              <w:left w:type="dxa" w:w="120"/>
              <w:bottom w:type="dxa" w:w="70"/>
              <w:right w:type="dxa" w:w="120"/>
            </w:tcMar>
          </w:tcPr>
          <w:p>
            <w:r>
              <w:t xml:space="preserve">JV structure + matches</w:t>
            </w:r>
          </w:p>
        </w:tc>
      </w:tr>
      <w:tr>
        <w:tc>
          <w:tcPr>
            <w:tcW w:type="dxa" w:w="1500"/>
            <w:shd w:fill="FFFFFF" w:val="clear"/>
            <w:tcMar>
              <w:top w:type="dxa" w:w="70"/>
              <w:left w:type="dxa" w:w="120"/>
              <w:bottom w:type="dxa" w:w="70"/>
              <w:right w:type="dxa" w:w="120"/>
            </w:tcMar>
          </w:tcPr>
          <w:p>
            <w:r>
              <w:t xml:space="preserve">Sell/Exit</w:t>
            </w:r>
          </w:p>
        </w:tc>
        <w:tc>
          <w:tcPr>
            <w:tcW w:type="dxa" w:w="3300"/>
            <w:shd w:fill="FFFFFF" w:val="clear"/>
            <w:tcMar>
              <w:top w:type="dxa" w:w="70"/>
              <w:left w:type="dxa" w:w="120"/>
              <w:bottom w:type="dxa" w:w="70"/>
              <w:right w:type="dxa" w:w="120"/>
            </w:tcMar>
          </w:tcPr>
          <w:p>
            <w:r>
              <w:t xml:space="preserve">5. Full Sale</w:t>
            </w:r>
          </w:p>
        </w:tc>
        <w:tc>
          <w:tcPr>
            <w:tcW w:type="dxa" w:w="2660"/>
            <w:shd w:fill="FFFFFF" w:val="clear"/>
            <w:tcMar>
              <w:top w:type="dxa" w:w="70"/>
              <w:left w:type="dxa" w:w="120"/>
              <w:bottom w:type="dxa" w:w="70"/>
              <w:right w:type="dxa" w:w="120"/>
            </w:tcMar>
          </w:tcPr>
          <w:p>
            <w:r>
              <w:t xml:space="preserve">Sell for max value</w:t>
            </w:r>
          </w:p>
        </w:tc>
        <w:tc>
          <w:tcPr>
            <w:tcW w:type="dxa" w:w="1900"/>
            <w:shd w:fill="FFFFFF" w:val="clear"/>
            <w:tcMar>
              <w:top w:type="dxa" w:w="70"/>
              <w:left w:type="dxa" w:w="120"/>
              <w:bottom w:type="dxa" w:w="70"/>
              <w:right w:type="dxa" w:w="120"/>
            </w:tcMar>
          </w:tcPr>
          <w:p>
            <w:r>
              <w:t xml:space="preserve">Buyers 184; likely 23</w:t>
            </w:r>
          </w:p>
        </w:tc>
      </w:tr>
      <w:tr>
        <w:tc>
          <w:tcPr>
            <w:tcW w:type="dxa" w:w="1500"/>
            <w:shd w:fill="EEF3F8" w:val="clear"/>
            <w:tcMar>
              <w:top w:type="dxa" w:w="70"/>
              <w:left w:type="dxa" w:w="120"/>
              <w:bottom w:type="dxa" w:w="70"/>
              <w:right w:type="dxa" w:w="120"/>
            </w:tcMar>
          </w:tcPr>
          <w:p>
            <w:r>
              <w:t xml:space="preserve">Sell/Exit</w:t>
            </w:r>
          </w:p>
        </w:tc>
        <w:tc>
          <w:tcPr>
            <w:tcW w:type="dxa" w:w="3300"/>
            <w:shd w:fill="EEF3F8" w:val="clear"/>
            <w:tcMar>
              <w:top w:type="dxa" w:w="70"/>
              <w:left w:type="dxa" w:w="120"/>
              <w:bottom w:type="dxa" w:w="70"/>
              <w:right w:type="dxa" w:w="120"/>
            </w:tcMar>
          </w:tcPr>
          <w:p>
            <w:r>
              <w:t xml:space="preserve">7. Acquisition Target</w:t>
            </w:r>
          </w:p>
        </w:tc>
        <w:tc>
          <w:tcPr>
            <w:tcW w:type="dxa" w:w="2660"/>
            <w:shd w:fill="EEF3F8" w:val="clear"/>
            <w:tcMar>
              <w:top w:type="dxa" w:w="70"/>
              <w:left w:type="dxa" w:w="120"/>
              <w:bottom w:type="dxa" w:w="70"/>
              <w:right w:type="dxa" w:w="120"/>
            </w:tcMar>
          </w:tcPr>
          <w:p>
            <w:r>
              <w:t xml:space="preserve">Position to be acquired</w:t>
            </w:r>
          </w:p>
        </w:tc>
        <w:tc>
          <w:tcPr>
            <w:tcW w:type="dxa" w:w="1900"/>
            <w:shd w:fill="EEF3F8" w:val="clear"/>
            <w:tcMar>
              <w:top w:type="dxa" w:w="70"/>
              <w:left w:type="dxa" w:w="120"/>
              <w:bottom w:type="dxa" w:w="70"/>
              <w:right w:type="dxa" w:w="120"/>
            </w:tcMar>
          </w:tcPr>
          <w:p>
            <w:r>
              <w:t xml:space="preserve">Acquisition Readiness 84%</w:t>
            </w:r>
          </w:p>
        </w:tc>
      </w:tr>
      <w:tr>
        <w:tc>
          <w:tcPr>
            <w:tcW w:type="dxa" w:w="1500"/>
            <w:shd w:fill="FFFFFF" w:val="clear"/>
            <w:tcMar>
              <w:top w:type="dxa" w:w="70"/>
              <w:left w:type="dxa" w:w="120"/>
              <w:bottom w:type="dxa" w:w="70"/>
              <w:right w:type="dxa" w:w="120"/>
            </w:tcMar>
          </w:tcPr>
          <w:p>
            <w:r>
              <w:t xml:space="preserve">Sell/Exit</w:t>
            </w:r>
          </w:p>
        </w:tc>
        <w:tc>
          <w:tcPr>
            <w:tcW w:type="dxa" w:w="3300"/>
            <w:shd w:fill="FFFFFF" w:val="clear"/>
            <w:tcMar>
              <w:top w:type="dxa" w:w="70"/>
              <w:left w:type="dxa" w:w="120"/>
              <w:bottom w:type="dxa" w:w="70"/>
              <w:right w:type="dxa" w:w="120"/>
            </w:tcMar>
          </w:tcPr>
          <w:p>
            <w:r>
              <w:t xml:space="preserve">16. Carve-Out / Divestiture</w:t>
            </w:r>
          </w:p>
        </w:tc>
        <w:tc>
          <w:tcPr>
            <w:tcW w:type="dxa" w:w="2660"/>
            <w:shd w:fill="FFFFFF" w:val="clear"/>
            <w:tcMar>
              <w:top w:type="dxa" w:w="70"/>
              <w:left w:type="dxa" w:w="120"/>
              <w:bottom w:type="dxa" w:w="70"/>
              <w:right w:type="dxa" w:w="120"/>
            </w:tcMar>
          </w:tcPr>
          <w:p>
            <w:r>
              <w:t xml:space="preserve">Sell non-core asset</w:t>
            </w:r>
          </w:p>
        </w:tc>
        <w:tc>
          <w:tcPr>
            <w:tcW w:type="dxa" w:w="1900"/>
            <w:shd w:fill="FFFFFF" w:val="clear"/>
            <w:tcMar>
              <w:top w:type="dxa" w:w="70"/>
              <w:left w:type="dxa" w:w="120"/>
              <w:bottom w:type="dxa" w:w="70"/>
              <w:right w:type="dxa" w:w="120"/>
            </w:tcMar>
          </w:tcPr>
          <w:p>
            <w:r>
              <w:t xml:space="preserve">Asset value + buyers</w:t>
            </w:r>
          </w:p>
        </w:tc>
      </w:tr>
      <w:tr>
        <w:tc>
          <w:tcPr>
            <w:tcW w:type="dxa" w:w="1500"/>
            <w:shd w:fill="EEF3F8" w:val="clear"/>
            <w:tcMar>
              <w:top w:type="dxa" w:w="70"/>
              <w:left w:type="dxa" w:w="120"/>
              <w:bottom w:type="dxa" w:w="70"/>
              <w:right w:type="dxa" w:w="120"/>
            </w:tcMar>
          </w:tcPr>
          <w:p>
            <w:r>
              <w:t xml:space="preserve">Sell/Exit</w:t>
            </w:r>
          </w:p>
        </w:tc>
        <w:tc>
          <w:tcPr>
            <w:tcW w:type="dxa" w:w="3300"/>
            <w:shd w:fill="EEF3F8" w:val="clear"/>
            <w:tcMar>
              <w:top w:type="dxa" w:w="70"/>
              <w:left w:type="dxa" w:w="120"/>
              <w:bottom w:type="dxa" w:w="70"/>
              <w:right w:type="dxa" w:w="120"/>
            </w:tcMar>
          </w:tcPr>
          <w:p>
            <w:r>
              <w:t xml:space="preserve">18. Secondary / Liquidity</w:t>
            </w:r>
          </w:p>
        </w:tc>
        <w:tc>
          <w:tcPr>
            <w:tcW w:type="dxa" w:w="2660"/>
            <w:shd w:fill="EEF3F8" w:val="clear"/>
            <w:tcMar>
              <w:top w:type="dxa" w:w="70"/>
              <w:left w:type="dxa" w:w="120"/>
              <w:bottom w:type="dxa" w:w="70"/>
              <w:right w:type="dxa" w:w="120"/>
            </w:tcMar>
          </w:tcPr>
          <w:p>
            <w:r>
              <w:t xml:space="preserve">Partial liquidity for shareholders</w:t>
            </w:r>
          </w:p>
        </w:tc>
        <w:tc>
          <w:tcPr>
            <w:tcW w:type="dxa" w:w="1900"/>
            <w:shd w:fill="EEF3F8" w:val="clear"/>
            <w:tcMar>
              <w:top w:type="dxa" w:w="70"/>
              <w:left w:type="dxa" w:w="120"/>
              <w:bottom w:type="dxa" w:w="70"/>
              <w:right w:type="dxa" w:w="120"/>
            </w:tcMar>
          </w:tcPr>
          <w:p>
            <w:r>
              <w:t xml:space="preserve">Secondary share-sale options</w:t>
            </w:r>
          </w:p>
        </w:tc>
      </w:tr>
      <w:tr>
        <w:tc>
          <w:tcPr>
            <w:tcW w:type="dxa" w:w="1500"/>
            <w:shd w:fill="FFFFFF" w:val="clear"/>
            <w:tcMar>
              <w:top w:type="dxa" w:w="70"/>
              <w:left w:type="dxa" w:w="120"/>
              <w:bottom w:type="dxa" w:w="70"/>
              <w:right w:type="dxa" w:w="120"/>
            </w:tcMar>
          </w:tcPr>
          <w:p>
            <w:r>
              <w:t xml:space="preserve">Sell/Exit</w:t>
            </w:r>
          </w:p>
        </w:tc>
        <w:tc>
          <w:tcPr>
            <w:tcW w:type="dxa" w:w="3300"/>
            <w:shd w:fill="FFFFFF" w:val="clear"/>
            <w:tcMar>
              <w:top w:type="dxa" w:w="70"/>
              <w:left w:type="dxa" w:w="120"/>
              <w:bottom w:type="dxa" w:w="70"/>
              <w:right w:type="dxa" w:w="120"/>
            </w:tcMar>
          </w:tcPr>
          <w:p>
            <w:r>
              <w:t xml:space="preserve">13. Spin-Out</w:t>
            </w:r>
          </w:p>
        </w:tc>
        <w:tc>
          <w:tcPr>
            <w:tcW w:type="dxa" w:w="2660"/>
            <w:shd w:fill="FFFFFF" w:val="clear"/>
            <w:tcMar>
              <w:top w:type="dxa" w:w="70"/>
              <w:left w:type="dxa" w:w="120"/>
              <w:bottom w:type="dxa" w:w="70"/>
              <w:right w:type="dxa" w:w="120"/>
            </w:tcMar>
          </w:tcPr>
          <w:p>
            <w:r>
              <w:t xml:space="preserve">Stand up a unit</w:t>
            </w:r>
          </w:p>
        </w:tc>
        <w:tc>
          <w:tcPr>
            <w:tcW w:type="dxa" w:w="1900"/>
            <w:shd w:fill="FFFFFF" w:val="clear"/>
            <w:tcMar>
              <w:top w:type="dxa" w:w="70"/>
              <w:left w:type="dxa" w:w="120"/>
              <w:bottom w:type="dxa" w:w="70"/>
              <w:right w:type="dxa" w:w="120"/>
            </w:tcMar>
          </w:tcPr>
          <w:p>
            <w:r>
              <w:t xml:space="preserve">Spin-out candidates</w:t>
            </w:r>
          </w:p>
        </w:tc>
      </w:tr>
      <w:tr>
        <w:tc>
          <w:tcPr>
            <w:tcW w:type="dxa" w:w="1500"/>
            <w:shd w:fill="EEF3F8" w:val="clear"/>
            <w:tcMar>
              <w:top w:type="dxa" w:w="70"/>
              <w:left w:type="dxa" w:w="120"/>
              <w:bottom w:type="dxa" w:w="70"/>
              <w:right w:type="dxa" w:w="120"/>
            </w:tcMar>
          </w:tcPr>
          <w:p>
            <w:r>
              <w:t xml:space="preserve">Consolidate</w:t>
            </w:r>
          </w:p>
        </w:tc>
        <w:tc>
          <w:tcPr>
            <w:tcW w:type="dxa" w:w="3300"/>
            <w:shd w:fill="EEF3F8" w:val="clear"/>
            <w:tcMar>
              <w:top w:type="dxa" w:w="70"/>
              <w:left w:type="dxa" w:w="120"/>
              <w:bottom w:type="dxa" w:w="70"/>
              <w:right w:type="dxa" w:w="120"/>
            </w:tcMar>
          </w:tcPr>
          <w:p>
            <w:r>
              <w:t xml:space="preserve">6. Roll-Up Platform</w:t>
            </w:r>
          </w:p>
        </w:tc>
        <w:tc>
          <w:tcPr>
            <w:tcW w:type="dxa" w:w="2660"/>
            <w:shd w:fill="EEF3F8" w:val="clear"/>
            <w:tcMar>
              <w:top w:type="dxa" w:w="70"/>
              <w:left w:type="dxa" w:w="120"/>
              <w:bottom w:type="dxa" w:w="70"/>
              <w:right w:type="dxa" w:w="120"/>
            </w:tcMar>
          </w:tcPr>
          <w:p>
            <w:r>
              <w:t xml:space="preserve">Become the consolidator</w:t>
            </w:r>
          </w:p>
        </w:tc>
        <w:tc>
          <w:tcPr>
            <w:tcW w:type="dxa" w:w="1900"/>
            <w:shd w:fill="EEF3F8" w:val="clear"/>
            <w:tcMar>
              <w:top w:type="dxa" w:w="70"/>
              <w:left w:type="dxa" w:w="120"/>
              <w:bottom w:type="dxa" w:w="70"/>
              <w:right w:type="dxa" w:w="120"/>
            </w:tcMar>
          </w:tcPr>
          <w:p>
            <w:r>
              <w:t xml:space="preserve">247 targets; exceptional</w:t>
            </w:r>
          </w:p>
        </w:tc>
      </w:tr>
      <w:tr>
        <w:tc>
          <w:tcPr>
            <w:tcW w:type="dxa" w:w="1500"/>
            <w:shd w:fill="FFFFFF" w:val="clear"/>
            <w:tcMar>
              <w:top w:type="dxa" w:w="70"/>
              <w:left w:type="dxa" w:w="120"/>
              <w:bottom w:type="dxa" w:w="70"/>
              <w:right w:type="dxa" w:w="120"/>
            </w:tcMar>
          </w:tcPr>
          <w:p>
            <w:r>
              <w:t xml:space="preserve">Restructure</w:t>
            </w:r>
          </w:p>
        </w:tc>
        <w:tc>
          <w:tcPr>
            <w:tcW w:type="dxa" w:w="3300"/>
            <w:shd w:fill="FFFFFF" w:val="clear"/>
            <w:tcMar>
              <w:top w:type="dxa" w:w="70"/>
              <w:left w:type="dxa" w:w="120"/>
              <w:bottom w:type="dxa" w:w="70"/>
              <w:right w:type="dxa" w:w="120"/>
            </w:tcMar>
          </w:tcPr>
          <w:p>
            <w:r>
              <w:t xml:space="preserve">9. Restructuring &amp; Recovery</w:t>
            </w:r>
          </w:p>
        </w:tc>
        <w:tc>
          <w:tcPr>
            <w:tcW w:type="dxa" w:w="2660"/>
            <w:shd w:fill="FFFFFF" w:val="clear"/>
            <w:tcMar>
              <w:top w:type="dxa" w:w="70"/>
              <w:left w:type="dxa" w:w="120"/>
              <w:bottom w:type="dxa" w:w="70"/>
              <w:right w:type="dxa" w:w="120"/>
            </w:tcMar>
          </w:tcPr>
          <w:p>
            <w:r>
              <w:t xml:space="preserve">Recover without selling</w:t>
            </w:r>
          </w:p>
        </w:tc>
        <w:tc>
          <w:tcPr>
            <w:tcW w:type="dxa" w:w="1900"/>
            <w:shd w:fill="FFFFFF" w:val="clear"/>
            <w:tcMar>
              <w:top w:type="dxa" w:w="70"/>
              <w:left w:type="dxa" w:w="120"/>
              <w:bottom w:type="dxa" w:w="70"/>
              <w:right w:type="dxa" w:w="120"/>
            </w:tcMar>
          </w:tcPr>
          <w:p>
            <w:r>
              <w:t xml:space="preserve">Runway +24 mo; 82%</w:t>
            </w:r>
          </w:p>
        </w:tc>
      </w:tr>
      <w:tr>
        <w:tc>
          <w:tcPr>
            <w:tcW w:type="dxa" w:w="1500"/>
            <w:shd w:fill="EEF3F8" w:val="clear"/>
            <w:tcMar>
              <w:top w:type="dxa" w:w="70"/>
              <w:left w:type="dxa" w:w="120"/>
              <w:bottom w:type="dxa" w:w="70"/>
              <w:right w:type="dxa" w:w="120"/>
            </w:tcMar>
          </w:tcPr>
          <w:p>
            <w:r>
              <w:t xml:space="preserve">Restructure</w:t>
            </w:r>
          </w:p>
        </w:tc>
        <w:tc>
          <w:tcPr>
            <w:tcW w:type="dxa" w:w="3300"/>
            <w:shd w:fill="EEF3F8" w:val="clear"/>
            <w:tcMar>
              <w:top w:type="dxa" w:w="70"/>
              <w:left w:type="dxa" w:w="120"/>
              <w:bottom w:type="dxa" w:w="70"/>
              <w:right w:type="dxa" w:w="120"/>
            </w:tcMar>
          </w:tcPr>
          <w:p>
            <w:r>
              <w:t xml:space="preserve">20. Wind Down &amp; Preservation</w:t>
            </w:r>
          </w:p>
        </w:tc>
        <w:tc>
          <w:tcPr>
            <w:tcW w:type="dxa" w:w="2660"/>
            <w:shd w:fill="EEF3F8" w:val="clear"/>
            <w:tcMar>
              <w:top w:type="dxa" w:w="70"/>
              <w:left w:type="dxa" w:w="120"/>
              <w:bottom w:type="dxa" w:w="70"/>
              <w:right w:type="dxa" w:w="120"/>
            </w:tcMar>
          </w:tcPr>
          <w:p>
            <w:r>
              <w:t xml:space="preserve">Max value while exiting</w:t>
            </w:r>
          </w:p>
        </w:tc>
        <w:tc>
          <w:tcPr>
            <w:tcW w:type="dxa" w:w="1900"/>
            <w:shd w:fill="EEF3F8" w:val="clear"/>
            <w:tcMar>
              <w:top w:type="dxa" w:w="70"/>
              <w:left w:type="dxa" w:w="120"/>
              <w:bottom w:type="dxa" w:w="70"/>
              <w:right w:type="dxa" w:w="120"/>
            </w:tcMar>
          </w:tcPr>
          <w:p>
            <w:r>
              <w:t xml:space="preserve">Expected recovery 74%</w:t>
            </w:r>
          </w:p>
        </w:tc>
      </w:tr>
    </w:tbl>
    <w:p>
      <w:pPr>
        <w:pBdr>
          <w:left w:val="single" w:color="2E75B6" w:sz="18" w:space="12"/>
        </w:pBdr>
        <w:spacing w:after="120" w:before="120"/>
        <w:ind w:left="240"/>
      </w:pPr>
      <w:r>
        <w:rPr>
          <w:i/>
          <w:iCs/>
          <w:color w:val="595959"/>
        </w:rPr>
        <w:t xml:space="preserve">A management team can pursue paths in combination (e.g., carve-out to fund a roll-up; divestiture to fund geographic expansion). The engine supports multi-path sequencing.</w:t>
      </w:r>
    </w:p>
    <w:p>
      <w:pPr>
        <w:pStyle w:val="Heading2"/>
      </w:pPr>
      <w:r>
        <w:t xml:space="preserve">5.2 The Strategic Path Dashboard</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360"/>
        <w:gridCol w:w="1500"/>
        <w:gridCol w:w="1500"/>
        <w:gridCol w:w="1500"/>
        <w:gridCol w:w="1500"/>
      </w:tblGrid>
      <w:tr>
        <w:trPr>
          <w:tblHeader/>
        </w:trPr>
        <w:tc>
          <w:tcPr>
            <w:tcW w:type="dxa" w:w="3360"/>
            <w:shd w:fill="1F3864" w:val="clear"/>
            <w:tcMar>
              <w:top w:type="dxa" w:w="80"/>
              <w:left w:type="dxa" w:w="120"/>
              <w:bottom w:type="dxa" w:w="80"/>
              <w:right w:type="dxa" w:w="120"/>
            </w:tcMar>
          </w:tcPr>
          <w:p>
            <w:r>
              <w:rPr>
                <w:b/>
                <w:bCs/>
                <w:color w:val="FFFFFF"/>
                <w:sz w:val="20"/>
                <w:szCs w:val="20"/>
              </w:rPr>
              <w:t xml:space="preserve">Path</w:t>
            </w:r>
          </w:p>
        </w:tc>
        <w:tc>
          <w:tcPr>
            <w:tcW w:type="dxa" w:w="1500"/>
            <w:shd w:fill="1F3864" w:val="clear"/>
            <w:tcMar>
              <w:top w:type="dxa" w:w="80"/>
              <w:left w:type="dxa" w:w="120"/>
              <w:bottom w:type="dxa" w:w="80"/>
              <w:right w:type="dxa" w:w="120"/>
            </w:tcMar>
          </w:tcPr>
          <w:p>
            <w:r>
              <w:rPr>
                <w:b/>
                <w:bCs/>
                <w:color w:val="FFFFFF"/>
                <w:sz w:val="20"/>
                <w:szCs w:val="20"/>
              </w:rPr>
              <w:t xml:space="preserve">Value Score</w:t>
            </w:r>
          </w:p>
        </w:tc>
        <w:tc>
          <w:tcPr>
            <w:tcW w:type="dxa" w:w="1500"/>
            <w:shd w:fill="1F3864" w:val="clear"/>
            <w:tcMar>
              <w:top w:type="dxa" w:w="80"/>
              <w:left w:type="dxa" w:w="120"/>
              <w:bottom w:type="dxa" w:w="80"/>
              <w:right w:type="dxa" w:w="120"/>
            </w:tcMar>
          </w:tcPr>
          <w:p>
            <w:r>
              <w:rPr>
                <w:b/>
                <w:bCs/>
                <w:color w:val="FFFFFF"/>
                <w:sz w:val="20"/>
                <w:szCs w:val="20"/>
              </w:rPr>
              <w:t xml:space="preserve">Risk Score</w:t>
            </w:r>
          </w:p>
        </w:tc>
        <w:tc>
          <w:tcPr>
            <w:tcW w:type="dxa" w:w="1500"/>
            <w:shd w:fill="1F3864" w:val="clear"/>
            <w:tcMar>
              <w:top w:type="dxa" w:w="80"/>
              <w:left w:type="dxa" w:w="120"/>
              <w:bottom w:type="dxa" w:w="80"/>
              <w:right w:type="dxa" w:w="120"/>
            </w:tcMar>
          </w:tcPr>
          <w:p>
            <w:r>
              <w:rPr>
                <w:b/>
                <w:bCs/>
                <w:color w:val="FFFFFF"/>
                <w:sz w:val="20"/>
                <w:szCs w:val="20"/>
              </w:rPr>
              <w:t xml:space="preserve">Time</w:t>
            </w:r>
          </w:p>
        </w:tc>
        <w:tc>
          <w:tcPr>
            <w:tcW w:type="dxa" w:w="1500"/>
            <w:shd w:fill="1F3864" w:val="clear"/>
            <w:tcMar>
              <w:top w:type="dxa" w:w="80"/>
              <w:left w:type="dxa" w:w="120"/>
              <w:bottom w:type="dxa" w:w="80"/>
              <w:right w:type="dxa" w:w="120"/>
            </w:tcMar>
          </w:tcPr>
          <w:p>
            <w:r>
              <w:rPr>
                <w:b/>
                <w:bCs/>
                <w:color w:val="FFFFFF"/>
                <w:sz w:val="20"/>
                <w:szCs w:val="20"/>
              </w:rPr>
              <w:t xml:space="preserve">Complexity</w:t>
            </w:r>
          </w:p>
        </w:tc>
      </w:tr>
      <w:tr>
        <w:tc>
          <w:tcPr>
            <w:tcW w:type="dxa" w:w="3360"/>
            <w:shd w:fill="FFFFFF" w:val="clear"/>
            <w:tcMar>
              <w:top w:type="dxa" w:w="70"/>
              <w:left w:type="dxa" w:w="120"/>
              <w:bottom w:type="dxa" w:w="70"/>
              <w:right w:type="dxa" w:w="120"/>
            </w:tcMar>
          </w:tcPr>
          <w:p>
            <w:r>
              <w:t xml:space="preserve">Grow Independently</w:t>
            </w:r>
          </w:p>
        </w:tc>
        <w:tc>
          <w:tcPr>
            <w:tcW w:type="dxa" w:w="1500"/>
            <w:shd w:fill="FFFFFF" w:val="clear"/>
            <w:tcMar>
              <w:top w:type="dxa" w:w="70"/>
              <w:left w:type="dxa" w:w="120"/>
              <w:bottom w:type="dxa" w:w="70"/>
              <w:right w:type="dxa" w:w="120"/>
            </w:tcMar>
          </w:tcPr>
          <w:p>
            <w:r>
              <w:t xml:space="preserve">91</w:t>
            </w:r>
          </w:p>
        </w:tc>
        <w:tc>
          <w:tcPr>
            <w:tcW w:type="dxa" w:w="1500"/>
            <w:shd w:fill="FFFFFF" w:val="clear"/>
            <w:tcMar>
              <w:top w:type="dxa" w:w="70"/>
              <w:left w:type="dxa" w:w="120"/>
              <w:bottom w:type="dxa" w:w="70"/>
              <w:right w:type="dxa" w:w="120"/>
            </w:tcMar>
          </w:tcPr>
          <w:p>
            <w:r>
              <w:t xml:space="preserve">24</w:t>
            </w:r>
          </w:p>
        </w:tc>
        <w:tc>
          <w:tcPr>
            <w:tcW w:type="dxa" w:w="1500"/>
            <w:shd w:fill="FFFFFF" w:val="clear"/>
            <w:tcMar>
              <w:top w:type="dxa" w:w="70"/>
              <w:left w:type="dxa" w:w="120"/>
              <w:bottom w:type="dxa" w:w="70"/>
              <w:right w:type="dxa" w:w="120"/>
            </w:tcMar>
          </w:tcPr>
          <w:p>
            <w:r>
              <w:t xml:space="preserve">36 mo</w:t>
            </w:r>
          </w:p>
        </w:tc>
        <w:tc>
          <w:tcPr>
            <w:tcW w:type="dxa" w:w="1500"/>
            <w:shd w:fill="FFFFFF" w:val="clear"/>
            <w:tcMar>
              <w:top w:type="dxa" w:w="70"/>
              <w:left w:type="dxa" w:w="120"/>
              <w:bottom w:type="dxa" w:w="70"/>
              <w:right w:type="dxa" w:w="120"/>
            </w:tcMar>
          </w:tcPr>
          <w:p>
            <w:r>
              <w:t xml:space="preserve">Low</w:t>
            </w:r>
          </w:p>
        </w:tc>
      </w:tr>
      <w:tr>
        <w:tc>
          <w:tcPr>
            <w:tcW w:type="dxa" w:w="3360"/>
            <w:shd w:fill="EEF3F8" w:val="clear"/>
            <w:tcMar>
              <w:top w:type="dxa" w:w="70"/>
              <w:left w:type="dxa" w:w="120"/>
              <w:bottom w:type="dxa" w:w="70"/>
              <w:right w:type="dxa" w:w="120"/>
            </w:tcMar>
          </w:tcPr>
          <w:p>
            <w:r>
              <w:t xml:space="preserve">Strategic Merger</w:t>
            </w:r>
          </w:p>
        </w:tc>
        <w:tc>
          <w:tcPr>
            <w:tcW w:type="dxa" w:w="1500"/>
            <w:shd w:fill="EEF3F8" w:val="clear"/>
            <w:tcMar>
              <w:top w:type="dxa" w:w="70"/>
              <w:left w:type="dxa" w:w="120"/>
              <w:bottom w:type="dxa" w:w="70"/>
              <w:right w:type="dxa" w:w="120"/>
            </w:tcMar>
          </w:tcPr>
          <w:p>
            <w:r>
              <w:t xml:space="preserve">88</w:t>
            </w:r>
          </w:p>
        </w:tc>
        <w:tc>
          <w:tcPr>
            <w:tcW w:type="dxa" w:w="1500"/>
            <w:shd w:fill="EEF3F8" w:val="clear"/>
            <w:tcMar>
              <w:top w:type="dxa" w:w="70"/>
              <w:left w:type="dxa" w:w="120"/>
              <w:bottom w:type="dxa" w:w="70"/>
              <w:right w:type="dxa" w:w="120"/>
            </w:tcMar>
          </w:tcPr>
          <w:p>
            <w:r>
              <w:t xml:space="preserve">43</w:t>
            </w:r>
          </w:p>
        </w:tc>
        <w:tc>
          <w:tcPr>
            <w:tcW w:type="dxa" w:w="1500"/>
            <w:shd w:fill="EEF3F8" w:val="clear"/>
            <w:tcMar>
              <w:top w:type="dxa" w:w="70"/>
              <w:left w:type="dxa" w:w="120"/>
              <w:bottom w:type="dxa" w:w="70"/>
              <w:right w:type="dxa" w:w="120"/>
            </w:tcMar>
          </w:tcPr>
          <w:p>
            <w:r>
              <w:t xml:space="preserve">12 mo</w:t>
            </w:r>
          </w:p>
        </w:tc>
        <w:tc>
          <w:tcPr>
            <w:tcW w:type="dxa" w:w="1500"/>
            <w:shd w:fill="EEF3F8" w:val="clear"/>
            <w:tcMar>
              <w:top w:type="dxa" w:w="70"/>
              <w:left w:type="dxa" w:w="120"/>
              <w:bottom w:type="dxa" w:w="70"/>
              <w:right w:type="dxa" w:w="120"/>
            </w:tcMar>
          </w:tcPr>
          <w:p>
            <w:r>
              <w:t xml:space="preserve">Medium</w:t>
            </w:r>
          </w:p>
        </w:tc>
      </w:tr>
      <w:tr>
        <w:tc>
          <w:tcPr>
            <w:tcW w:type="dxa" w:w="3360"/>
            <w:shd w:fill="FFFFFF" w:val="clear"/>
            <w:tcMar>
              <w:top w:type="dxa" w:w="70"/>
              <w:left w:type="dxa" w:w="120"/>
              <w:bottom w:type="dxa" w:w="70"/>
              <w:right w:type="dxa" w:w="120"/>
            </w:tcMar>
          </w:tcPr>
          <w:p>
            <w:r>
              <w:t xml:space="preserve">Roll-Up Platform</w:t>
            </w:r>
          </w:p>
        </w:tc>
        <w:tc>
          <w:tcPr>
            <w:tcW w:type="dxa" w:w="1500"/>
            <w:shd w:fill="FFFFFF" w:val="clear"/>
            <w:tcMar>
              <w:top w:type="dxa" w:w="70"/>
              <w:left w:type="dxa" w:w="120"/>
              <w:bottom w:type="dxa" w:w="70"/>
              <w:right w:type="dxa" w:w="120"/>
            </w:tcMar>
          </w:tcPr>
          <w:p>
            <w:r>
              <w:t xml:space="preserve">84</w:t>
            </w:r>
          </w:p>
        </w:tc>
        <w:tc>
          <w:tcPr>
            <w:tcW w:type="dxa" w:w="1500"/>
            <w:shd w:fill="FFFFFF" w:val="clear"/>
            <w:tcMar>
              <w:top w:type="dxa" w:w="70"/>
              <w:left w:type="dxa" w:w="120"/>
              <w:bottom w:type="dxa" w:w="70"/>
              <w:right w:type="dxa" w:w="120"/>
            </w:tcMar>
          </w:tcPr>
          <w:p>
            <w:r>
              <w:t xml:space="preserve">47</w:t>
            </w:r>
          </w:p>
        </w:tc>
        <w:tc>
          <w:tcPr>
            <w:tcW w:type="dxa" w:w="1500"/>
            <w:shd w:fill="FFFFFF" w:val="clear"/>
            <w:tcMar>
              <w:top w:type="dxa" w:w="70"/>
              <w:left w:type="dxa" w:w="120"/>
              <w:bottom w:type="dxa" w:w="70"/>
              <w:right w:type="dxa" w:w="120"/>
            </w:tcMar>
          </w:tcPr>
          <w:p>
            <w:r>
              <w:t xml:space="preserve">24 mo</w:t>
            </w:r>
          </w:p>
        </w:tc>
        <w:tc>
          <w:tcPr>
            <w:tcW w:type="dxa" w:w="1500"/>
            <w:shd w:fill="FFFFFF" w:val="clear"/>
            <w:tcMar>
              <w:top w:type="dxa" w:w="70"/>
              <w:left w:type="dxa" w:w="120"/>
              <w:bottom w:type="dxa" w:w="70"/>
              <w:right w:type="dxa" w:w="120"/>
            </w:tcMar>
          </w:tcPr>
          <w:p>
            <w:r>
              <w:t xml:space="preserve">High</w:t>
            </w:r>
          </w:p>
        </w:tc>
      </w:tr>
      <w:tr>
        <w:tc>
          <w:tcPr>
            <w:tcW w:type="dxa" w:w="3360"/>
            <w:shd w:fill="EEF3F8" w:val="clear"/>
            <w:tcMar>
              <w:top w:type="dxa" w:w="70"/>
              <w:left w:type="dxa" w:w="120"/>
              <w:bottom w:type="dxa" w:w="70"/>
              <w:right w:type="dxa" w:w="120"/>
            </w:tcMar>
          </w:tcPr>
          <w:p>
            <w:r>
              <w:t xml:space="preserve">Full Sale</w:t>
            </w:r>
          </w:p>
        </w:tc>
        <w:tc>
          <w:tcPr>
            <w:tcW w:type="dxa" w:w="1500"/>
            <w:shd w:fill="EEF3F8" w:val="clear"/>
            <w:tcMar>
              <w:top w:type="dxa" w:w="70"/>
              <w:left w:type="dxa" w:w="120"/>
              <w:bottom w:type="dxa" w:w="70"/>
              <w:right w:type="dxa" w:w="120"/>
            </w:tcMar>
          </w:tcPr>
          <w:p>
            <w:r>
              <w:t xml:space="preserve">75</w:t>
            </w:r>
          </w:p>
        </w:tc>
        <w:tc>
          <w:tcPr>
            <w:tcW w:type="dxa" w:w="1500"/>
            <w:shd w:fill="EEF3F8" w:val="clear"/>
            <w:tcMar>
              <w:top w:type="dxa" w:w="70"/>
              <w:left w:type="dxa" w:w="120"/>
              <w:bottom w:type="dxa" w:w="70"/>
              <w:right w:type="dxa" w:w="120"/>
            </w:tcMar>
          </w:tcPr>
          <w:p>
            <w:r>
              <w:t xml:space="preserve">12</w:t>
            </w:r>
          </w:p>
        </w:tc>
        <w:tc>
          <w:tcPr>
            <w:tcW w:type="dxa" w:w="1500"/>
            <w:shd w:fill="EEF3F8" w:val="clear"/>
            <w:tcMar>
              <w:top w:type="dxa" w:w="70"/>
              <w:left w:type="dxa" w:w="120"/>
              <w:bottom w:type="dxa" w:w="70"/>
              <w:right w:type="dxa" w:w="120"/>
            </w:tcMar>
          </w:tcPr>
          <w:p>
            <w:r>
              <w:t xml:space="preserve">6 mo</w:t>
            </w:r>
          </w:p>
        </w:tc>
        <w:tc>
          <w:tcPr>
            <w:tcW w:type="dxa" w:w="1500"/>
            <w:shd w:fill="EEF3F8" w:val="clear"/>
            <w:tcMar>
              <w:top w:type="dxa" w:w="70"/>
              <w:left w:type="dxa" w:w="120"/>
              <w:bottom w:type="dxa" w:w="70"/>
              <w:right w:type="dxa" w:w="120"/>
            </w:tcMar>
          </w:tcPr>
          <w:p>
            <w:r>
              <w:t xml:space="preserve">Low</w:t>
            </w:r>
          </w:p>
        </w:tc>
      </w:tr>
      <w:tr>
        <w:tc>
          <w:tcPr>
            <w:tcW w:type="dxa" w:w="3360"/>
            <w:shd w:fill="FFFFFF" w:val="clear"/>
            <w:tcMar>
              <w:top w:type="dxa" w:w="70"/>
              <w:left w:type="dxa" w:w="120"/>
              <w:bottom w:type="dxa" w:w="70"/>
              <w:right w:type="dxa" w:w="120"/>
            </w:tcMar>
          </w:tcPr>
          <w:p>
            <w:r>
              <w:t xml:space="preserve">Strategic Partnership</w:t>
            </w:r>
          </w:p>
        </w:tc>
        <w:tc>
          <w:tcPr>
            <w:tcW w:type="dxa" w:w="1500"/>
            <w:shd w:fill="FFFFFF" w:val="clear"/>
            <w:tcMar>
              <w:top w:type="dxa" w:w="70"/>
              <w:left w:type="dxa" w:w="120"/>
              <w:bottom w:type="dxa" w:w="70"/>
              <w:right w:type="dxa" w:w="120"/>
            </w:tcMar>
          </w:tcPr>
          <w:p>
            <w:r>
              <w:t xml:space="preserve">80</w:t>
            </w:r>
          </w:p>
        </w:tc>
        <w:tc>
          <w:tcPr>
            <w:tcW w:type="dxa" w:w="1500"/>
            <w:shd w:fill="FFFFFF" w:val="clear"/>
            <w:tcMar>
              <w:top w:type="dxa" w:w="70"/>
              <w:left w:type="dxa" w:w="120"/>
              <w:bottom w:type="dxa" w:w="70"/>
              <w:right w:type="dxa" w:w="120"/>
            </w:tcMar>
          </w:tcPr>
          <w:p>
            <w:r>
              <w:t xml:space="preserve">22</w:t>
            </w:r>
          </w:p>
        </w:tc>
        <w:tc>
          <w:tcPr>
            <w:tcW w:type="dxa" w:w="1500"/>
            <w:shd w:fill="FFFFFF" w:val="clear"/>
            <w:tcMar>
              <w:top w:type="dxa" w:w="70"/>
              <w:left w:type="dxa" w:w="120"/>
              <w:bottom w:type="dxa" w:w="70"/>
              <w:right w:type="dxa" w:w="120"/>
            </w:tcMar>
          </w:tcPr>
          <w:p>
            <w:r>
              <w:t xml:space="preserve">5 mo</w:t>
            </w:r>
          </w:p>
        </w:tc>
        <w:tc>
          <w:tcPr>
            <w:tcW w:type="dxa" w:w="1500"/>
            <w:shd w:fill="FFFFFF" w:val="clear"/>
            <w:tcMar>
              <w:top w:type="dxa" w:w="70"/>
              <w:left w:type="dxa" w:w="120"/>
              <w:bottom w:type="dxa" w:w="70"/>
              <w:right w:type="dxa" w:w="120"/>
            </w:tcMar>
          </w:tcPr>
          <w:p>
            <w:r>
              <w:t xml:space="preserve">Low</w:t>
            </w:r>
          </w:p>
        </w:tc>
      </w:tr>
    </w:tbl>
    <w:p>
      <w:pPr>
        <w:spacing w:after="120" w:line="276"/>
      </w:pPr>
      <w:r>
        <w:t xml:space="preserve">Each row drills into the analysis, counterparty matches, readiness gaps, and comparable-company evidence.</w:t>
      </w:r>
    </w:p>
    <w:p>
      <w:pPr>
        <w:pStyle w:val="Heading1"/>
      </w:pPr>
      <w:r>
        <w:t xml:space="preserve">6. Execution &amp; workflow layer (making the deal happen)</w:t>
      </w:r>
    </w:p>
    <w:p>
      <w:pPr>
        <w:spacing w:after="120" w:line="276"/>
      </w:pPr>
      <w:r>
        <w:t xml:space="preserve">The intelligence layer recommends; the execution layer helps the transaction close (detailed in Section 8). Core obligations: match counterparties from the graph (buyers, targets, partners, advisors, acquisition lenders); generate the readiness gap list and documents (data-room checklist, NDAs, teasers, CIMs, term sheets); track the process (stages, owners, timelines, costs) — capturing process data; and run outreach with context-aware materials. Reuse existing cap-table tooling and document templates.</w:t>
      </w:r>
    </w:p>
    <w:p>
      <w:pPr>
        <w:pStyle w:val="Heading1"/>
      </w:pPr>
      <w:r>
        <w:t xml:space="preserve">7. The real moat — data accumulation</w:t>
      </w:r>
    </w:p>
    <w:p>
      <w:pPr>
        <w:pBdr>
          <w:left w:val="single" w:color="2E75B6" w:sz="18" w:space="12"/>
        </w:pBdr>
        <w:spacing w:after="120" w:before="120"/>
        <w:ind w:left="240"/>
      </w:pPr>
      <w:r>
        <w:rPr>
          <w:i/>
          <w:iCs/>
          <w:color w:val="595959"/>
        </w:rPr>
        <w:t xml:space="preserve">Most founders think the moat is “more AI.” It isn't. The moat is proprietary, compounding data.</w:t>
      </w:r>
    </w:p>
    <w:p>
      <w:pPr>
        <w:spacing w:after="120" w:line="276"/>
      </w:pPr>
      <w:r>
        <w:t xml:space="preserve">Capture three data classes on every deal: </w:t>
      </w:r>
      <w:r>
        <w:rPr>
          <w:b/>
          <w:bCs/>
        </w:rPr>
        <w:t xml:space="preserve">transaction data</w:t>
      </w:r>
      <w:r>
        <w:t xml:space="preserve"> (acquisitions, mergers, divestitures, partnerships — terms, parties, multiples, structure), </w:t>
      </w:r>
      <w:r>
        <w:rPr>
          <w:b/>
          <w:bCs/>
        </w:rPr>
        <w:t xml:space="preserve">process data</w:t>
      </w:r>
      <w:r>
        <w:t xml:space="preserve"> (who got hired, timelines, costs, what stalled), and </w:t>
      </w:r>
      <w:r>
        <w:rPr>
          <w:b/>
          <w:bCs/>
        </w:rPr>
        <w:t xml:space="preserve">outcome data</w:t>
      </w:r>
      <w:r>
        <w:t xml:space="preserve"> (successful vs failed acquisitions, integrations, mergers). Over time these feed the Transaction Success Engine — nearly impossible to replicate. The marketplace flywheel (Section 8, L12) captures most of this.</w:t>
      </w:r>
    </w:p>
    <w:p>
      <w:pPr>
        <w:spacing w:after="120" w:line="276"/>
      </w:pPr>
      <w:r>
        <w:rPr>
          <w:b/>
          <w:bCs/>
        </w:rPr>
        <w:t xml:space="preserve">Build rule:</w:t>
      </w:r>
      <w:r>
        <w:t xml:space="preserve"> no engine or marketplace feature ships without defining what data it writes back and how that data improves the next recommendation.</w:t>
      </w:r>
    </w:p>
    <w:p>
      <w:pPr>
        <w:pageBreakBefore/>
        <w:shd w:fill="1F3864" w:val="clear"/>
        <w:spacing w:after="200" w:before="200"/>
        <w:jc w:val="center"/>
      </w:pPr>
      <w:r>
        <w:rPr>
          <w:b/>
          <w:bCs/>
          <w:color w:val="FFFFFF"/>
          <w:sz w:val="30"/>
          <w:szCs w:val="30"/>
        </w:rPr>
        <w:t xml:space="preserve">PART II — THE FORWARDOS DELTA REVIEW</w:t>
      </w:r>
    </w:p>
    <w:p>
      <w:pPr>
        <w:pStyle w:val="Heading1"/>
      </w:pPr>
      <w:r>
        <w:t xml:space="preserve">8. ForwardOS Delta Review: what your transactions marketplace is still missing</w:t>
      </w:r>
    </w:p>
    <w:p>
      <w:pPr>
        <w:pStyle w:val="Heading2"/>
      </w:pPr>
      <w:r>
        <w:t xml:space="preserve">8.1 Executive summary</w:t>
      </w:r>
    </w:p>
    <w:p>
      <w:pPr>
        <w:spacing w:after="120" w:line="276"/>
      </w:pPr>
      <w:r>
        <w:t xml:space="preserve">The current design is already unusually sophisticated: buyers/sellers/brokers, confidential workflows, NDA handling, anonymous listings, financial uploads, proof-of-funds validation, background checks, and strategic pathing + AI recommendation engines. What has been built is closer to a transaction operating system than a marketplace.</w:t>
      </w:r>
    </w:p>
    <w:p>
      <w:pPr>
        <w:spacing w:after="120" w:line="276"/>
      </w:pPr>
      <w:r>
        <w:t xml:space="preserve">The remaining gap is not “more features.” It is six categories of infrastructure: </w:t>
      </w:r>
      <w:r>
        <w:rPr>
          <w:b/>
          <w:bCs/>
        </w:rPr>
        <w:t xml:space="preserve">trust architecture, execution automation, counterparty intelligence, negotiation infrastructure, outcome prediction, and network effects.</w:t>
      </w:r>
      <w:r>
        <w:t xml:space="preserve"> The twelve layers below close that gap; five platform foundations (8A) make it world-class and fully compliant.</w:t>
      </w:r>
    </w:p>
    <w:p>
      <w:pPr>
        <w:pStyle w:val="Heading2"/>
      </w:pPr>
      <w:r>
        <w:t xml:space="preserve">8.2 Layer 1 — Reputation &amp; trust graph (critical)</w:t>
      </w:r>
    </w:p>
    <w:p>
      <w:pPr>
        <w:spacing w:after="120" w:line="276"/>
      </w:pPr>
      <w:r>
        <w:t xml:space="preserve">Today the platform validates documents, not participants. Add a reputation graph: every participant gets a continuously evolving trust profile — deal completion rate, responsiveness, NDA compliance history, verified capital history, successful closings, failed negotiations, legal-dispute flags, advisor references, counterparty feedback, data-accuracy score.</w:t>
      </w:r>
    </w:p>
    <w:p>
      <w:pPr>
        <w:spacing w:after="120" w:line="276"/>
      </w:pPr>
      <w:r>
        <w:t xml:space="preserve">AI trust scoring generates: buyer reliability, seller readiness, broker effectiveness, counterparty risk, and probability-of-close scores. The biggest friction in M&amp;A is determining who is real, who can close, who wastes time, and who leaks — and the graph compounds over time.</w:t>
      </w:r>
    </w:p>
    <w:p>
      <w:pPr>
        <w:spacing w:after="120" w:line="276"/>
      </w:pPr>
      <w:r>
        <w:rPr>
          <w:b/>
          <w:bCs/>
        </w:rPr>
        <w:t xml:space="preserve">Design:</w:t>
      </w:r>
      <w:r>
        <w:t xml:space="preserve"> trust profile page, deal-history timeline, verification badges, risk indicators, close-probability widget.</w:t>
      </w:r>
    </w:p>
    <w:p>
      <w:pPr>
        <w:pStyle w:val="Heading2"/>
      </w:pPr>
      <w:r>
        <w:t xml:space="preserve">8.3 Layer 2 — Smart anonymity &amp; staged disclosure</w:t>
      </w:r>
    </w:p>
    <w:p>
      <w:pPr>
        <w:spacing w:after="120" w:line="276"/>
      </w:pPr>
      <w:r>
        <w:t xml:space="preserve">Names are hidden; the next level is progressive disclosure — a three-tier model:</w:t>
      </w:r>
    </w:p>
    <w:p>
      <w:pPr>
        <w:pStyle w:val="ListParagraph"/>
        <w:numPr>
          <w:ilvl w:val="0"/>
          <w:numId w:val="2"/>
        </w:numPr>
        <w:spacing w:after="60"/>
      </w:pPr>
      <w:r>
        <w:rPr>
          <w:b/>
          <w:bCs/>
        </w:rPr>
        <w:t xml:space="preserve">Tier 1 — Anonymous teaser:</w:t>
      </w:r>
      <w:r>
        <w:t xml:space="preserve"> industry, revenue range, EBITDA range, geography, business model, thesis.</w:t>
      </w:r>
    </w:p>
    <w:p>
      <w:pPr>
        <w:pStyle w:val="ListParagraph"/>
        <w:numPr>
          <w:ilvl w:val="0"/>
          <w:numId w:val="2"/>
        </w:numPr>
        <w:spacing w:after="60"/>
      </w:pPr>
      <w:r>
        <w:rPr>
          <w:b/>
          <w:bCs/>
        </w:rPr>
        <w:t xml:space="preserve">Tier 2 — Qualified disclosure</w:t>
      </w:r>
      <w:r>
        <w:t xml:space="preserve"> (after NDA + proof of funds + identity verification + AI fraud screening + broker approval): detailed financials, customer concentration, growth metrics, management info.</w:t>
      </w:r>
    </w:p>
    <w:p>
      <w:pPr>
        <w:pStyle w:val="ListParagraph"/>
        <w:numPr>
          <w:ilvl w:val="0"/>
          <w:numId w:val="2"/>
        </w:numPr>
        <w:spacing w:after="60"/>
      </w:pPr>
      <w:r>
        <w:rPr>
          <w:b/>
          <w:bCs/>
        </w:rPr>
        <w:t xml:space="preserve">Tier 3 — Controlled access</w:t>
      </w:r>
      <w:r>
        <w:t xml:space="preserve"> (shortlisted buyers): company identity, customer lists, employee data, contracts, full diligence room.</w:t>
      </w:r>
    </w:p>
    <w:p>
      <w:pPr>
        <w:spacing w:after="120" w:line="276"/>
      </w:pPr>
      <w:r>
        <w:t xml:space="preserve">AI enhancements: auto-redact sensitive docs, detect identifying metadata, track downloads/screenshots, per-user watermarking. </w:t>
      </w:r>
      <w:r>
        <w:rPr>
          <w:b/>
          <w:bCs/>
        </w:rPr>
        <w:t xml:space="preserve">Design:</w:t>
      </w:r>
      <w:r>
        <w:t xml:space="preserve"> disclosure-stage indicator, access-request workflow, redacted-preview generator, audit-trail panel.</w:t>
      </w:r>
    </w:p>
    <w:p>
      <w:pPr>
        <w:pStyle w:val="Heading2"/>
      </w:pPr>
      <w:r>
        <w:t xml:space="preserve">8.4 Layer 3 — Deal Room OS (major gap)</w:t>
      </w:r>
    </w:p>
    <w:p>
      <w:pPr>
        <w:spacing w:after="120" w:line="276"/>
      </w:pPr>
      <w:r>
        <w:t xml:space="preserve">More than file sharing — a transaction command center:</w:t>
      </w:r>
    </w:p>
    <w:p>
      <w:pPr>
        <w:pStyle w:val="ListParagraph"/>
        <w:numPr>
          <w:ilvl w:val="0"/>
          <w:numId w:val="2"/>
        </w:numPr>
        <w:spacing w:after="60"/>
      </w:pPr>
      <w:r>
        <w:rPr>
          <w:b/>
          <w:bCs/>
        </w:rPr>
        <w:t xml:space="preserve">Due-diligence tracker:</w:t>
      </w:r>
      <w:r>
        <w:t xml:space="preserve"> legal, financial, tax, HR, technology, commercial, environmental/regulatory.</w:t>
      </w:r>
    </w:p>
    <w:p>
      <w:pPr>
        <w:pStyle w:val="ListParagraph"/>
        <w:numPr>
          <w:ilvl w:val="0"/>
          <w:numId w:val="2"/>
        </w:numPr>
        <w:spacing w:after="60"/>
      </w:pPr>
      <w:r>
        <w:rPr>
          <w:b/>
          <w:bCs/>
        </w:rPr>
        <w:t xml:space="preserve">Task management:</w:t>
      </w:r>
      <w:r>
        <w:t xml:space="preserve"> assign to buyer/seller/broker/lawyer; track deadlines; escalate blockers.</w:t>
      </w:r>
    </w:p>
    <w:p>
      <w:pPr>
        <w:pStyle w:val="ListParagraph"/>
        <w:numPr>
          <w:ilvl w:val="0"/>
          <w:numId w:val="2"/>
        </w:numPr>
        <w:spacing w:after="60"/>
      </w:pPr>
      <w:r>
        <w:rPr>
          <w:b/>
          <w:bCs/>
        </w:rPr>
        <w:t xml:space="preserve">Q&amp;A workflow:</w:t>
      </w:r>
      <w:r>
        <w:t xml:space="preserve"> centralized questions, seller responses, version history, AI summarization.</w:t>
      </w:r>
    </w:p>
    <w:p>
      <w:pPr>
        <w:pStyle w:val="ListParagraph"/>
        <w:numPr>
          <w:ilvl w:val="0"/>
          <w:numId w:val="2"/>
        </w:numPr>
        <w:spacing w:after="60"/>
      </w:pPr>
      <w:r>
        <w:rPr>
          <w:b/>
          <w:bCs/>
        </w:rPr>
        <w:t xml:space="preserve">Document intelligence:</w:t>
      </w:r>
      <w:r>
        <w:t xml:space="preserve"> AI extracts obligations, flags missing signatures, detects change-of-control clauses, summarizes risks.</w:t>
      </w:r>
    </w:p>
    <w:p>
      <w:pPr>
        <w:spacing w:after="120" w:line="276"/>
      </w:pPr>
      <w:r>
        <w:t xml:space="preserve">Most deals die from poor process management; owning execution makes the platform deeply embedded. </w:t>
      </w:r>
      <w:r>
        <w:rPr>
          <w:b/>
          <w:bCs/>
        </w:rPr>
        <w:t xml:space="preserve">Design:</w:t>
      </w:r>
      <w:r>
        <w:t xml:space="preserve"> deal-room dashboard, request-list tracker, Q&amp;A center, document-AI summary pane, progress heatmap.</w:t>
      </w:r>
    </w:p>
    <w:p>
      <w:pPr>
        <w:pStyle w:val="Heading2"/>
      </w:pPr>
      <w:r>
        <w:t xml:space="preserve">8.5 Layer 4 — Negotiation &amp; term-sheet intelligence</w:t>
      </w:r>
    </w:p>
    <w:p>
      <w:pPr>
        <w:spacing w:after="120" w:line="276"/>
      </w:pPr>
      <w:r>
        <w:t xml:space="preserve">A massive differentiator. </w:t>
      </w:r>
      <w:r>
        <w:rPr>
          <w:b/>
          <w:bCs/>
        </w:rPr>
        <w:t xml:space="preserve">Term-sheet analyzer:</w:t>
      </w:r>
      <w:r>
        <w:t xml:space="preserve"> compares valuation, earn-outs, working-capital adjustments, reps &amp; warranties, indemnities, financing contingencies against market benchmarks. </w:t>
      </w:r>
      <w:r>
        <w:rPr>
          <w:b/>
          <w:bCs/>
        </w:rPr>
        <w:t xml:space="preserve">Negotiation simulator:</w:t>
      </w:r>
      <w:r>
        <w:t xml:space="preserve"> best case, walk-away point, likely counteroffer, deal probability by price. </w:t>
      </w:r>
      <w:r>
        <w:rPr>
          <w:b/>
          <w:bCs/>
        </w:rPr>
        <w:t xml:space="preserve">Strategic recommendations:</w:t>
      </w:r>
      <w:r>
        <w:t xml:space="preserve"> e.g., “a lower upfront price with a performance earn-out increases expected total proceeds by 18% based on comparables.” </w:t>
      </w:r>
      <w:r>
        <w:rPr>
          <w:b/>
          <w:bCs/>
        </w:rPr>
        <w:t xml:space="preserve">Design:</w:t>
      </w:r>
      <w:r>
        <w:t xml:space="preserve"> term-sheet comparison view, negotiation-probability chart, benchmark panel, AI recommendation cards.</w:t>
      </w:r>
    </w:p>
    <w:p>
      <w:pPr>
        <w:pStyle w:val="Heading2"/>
      </w:pPr>
      <w:r>
        <w:t xml:space="preserve">8.6 Layer 5 — Counterparty matching engine (network-effect layer)</w:t>
      </w:r>
    </w:p>
    <w:p>
      <w:pPr>
        <w:spacing w:after="120" w:line="276"/>
      </w:pPr>
      <w:r>
        <w:t xml:space="preserve">Where marketplaces become unbeatable. Intelligent matching ranks buyers/sellers on strategic fit, geographic overlap, customer overlap, valuation expectations, financing capacity, acquisition history, industry adjacency, cultural-fit signals, and close probability. Hidden-demand detection finds active buyers, likely sellers, distressed opportunities, and roll-up candidates. </w:t>
      </w:r>
      <w:r>
        <w:rPr>
          <w:b/>
          <w:bCs/>
        </w:rPr>
        <w:t xml:space="preserve">Design:</w:t>
      </w:r>
      <w:r>
        <w:t xml:space="preserve"> recommended-counterparties section, match-score display, strategic-rationale summary, mutual-connection indicators. (Powered by #6, #8, #9.)</w:t>
      </w:r>
    </w:p>
    <w:p>
      <w:pPr>
        <w:pStyle w:val="Heading2"/>
      </w:pPr>
      <w:r>
        <w:t xml:space="preserve">8.7 Layer 6 — Acquisition-financing marketplace</w:t>
      </w:r>
    </w:p>
    <w:p>
      <w:pPr>
        <w:spacing w:after="120" w:line="276"/>
      </w:pPr>
      <w:r>
        <w:t xml:space="preserve">Proof-of-funds exists; integrated deal financing does not. Connect buyers with acquisition lenders, mezzanine funds, private credit, seller-financing structures, earn-out modeling, and bridge financing </w:t>
      </w:r>
      <w:r>
        <w:rPr>
          <w:b/>
          <w:bCs/>
        </w:rPr>
        <w:t xml:space="preserve">to fund acquisitions</w:t>
      </w:r>
      <w:r>
        <w:t xml:space="preserve"> (not to raise primary capital for the company). AI outputs: optimal acquisition capital stack, debt-capacity estimate, likely financing sources, DSCR and leverage analysis. Becoming the financing layer increases close rates dramatically. </w:t>
      </w:r>
      <w:r>
        <w:rPr>
          <w:b/>
          <w:bCs/>
        </w:rPr>
        <w:t xml:space="preserve">Design:</w:t>
      </w:r>
      <w:r>
        <w:t xml:space="preserve"> financing-options panel, capital-stack visualizer, lender-match score, financing-readiness checklist.</w:t>
      </w:r>
    </w:p>
    <w:p>
      <w:pPr>
        <w:pStyle w:val="Heading2"/>
      </w:pPr>
      <w:r>
        <w:t xml:space="preserve">8.8 Layer 7 — Regulatory &amp; compliance automation</w:t>
      </w:r>
    </w:p>
    <w:p>
      <w:pPr>
        <w:spacing w:after="120" w:line="276"/>
      </w:pPr>
      <w:r>
        <w:t xml:space="preserve">Especially for cross-border deals. Automate antitrust/competition filing checks, foreign-investment screening, change-of-control disclosure triggers, sanctions screening, AML/KYC, beneficial-ownership verification. AI outputs: required filings, estimated timelines, regulatory-risk score, jurisdiction-specific checklists. </w:t>
      </w:r>
      <w:r>
        <w:rPr>
          <w:b/>
          <w:bCs/>
        </w:rPr>
        <w:t xml:space="preserve">Design:</w:t>
      </w:r>
      <w:r>
        <w:t xml:space="preserve"> compliance center, jurisdiction matrix, regulatory-timeline tracker, AI filing alerts.</w:t>
      </w:r>
    </w:p>
    <w:p>
      <w:pPr>
        <w:pStyle w:val="Heading2"/>
      </w:pPr>
      <w:r>
        <w:t xml:space="preserve">8.9 Layer 8 — Post-close integration OS</w:t>
      </w:r>
    </w:p>
    <w:p>
      <w:pPr>
        <w:spacing w:after="120" w:line="276"/>
      </w:pPr>
      <w:r>
        <w:t xml:space="preserve">Most M&amp;A software stops at signing. Add synergy tracking, employee integration, IT migration, customer-communication plans, 100-day plan management, KPI tracking. AI outputs: integration-risk alerts, synergy-realization forecasting, culture-compatibility analysis, retention-risk detection. Owning post-close extends lifetime value and gathers the most valuable outcome data. </w:t>
      </w:r>
      <w:r>
        <w:rPr>
          <w:b/>
          <w:bCs/>
        </w:rPr>
        <w:t xml:space="preserve">Design:</w:t>
      </w:r>
      <w:r>
        <w:t xml:space="preserve"> integration dashboard, synergy tracker, 100-day roadmap, post-close KPI monitor.</w:t>
      </w:r>
    </w:p>
    <w:p>
      <w:pPr>
        <w:pStyle w:val="Heading2"/>
      </w:pPr>
      <w:r>
        <w:t xml:space="preserve">8.10 Layer 9 — AI market intelligence &amp; predictive analytics</w:t>
      </w:r>
    </w:p>
    <w:p>
      <w:pPr>
        <w:spacing w:after="120" w:line="276"/>
      </w:pPr>
      <w:r>
        <w:t xml:space="preserve">Make market sentiment actionable. Modules: sector heatmaps, M&amp;A valuation-trend tracking, buyer-appetite index, distress-opportunity index, consolidation-wave index, private-credit (acquisition-financing) liquidity index. Predictive models forecast best time to sell, valuation-expansion likelihood, acquisition probability, consolidation waves. </w:t>
      </w:r>
      <w:r>
        <w:rPr>
          <w:b/>
          <w:bCs/>
        </w:rPr>
        <w:t xml:space="preserve">Design:</w:t>
      </w:r>
      <w:r>
        <w:t xml:space="preserve"> market-intelligence dashboard, sector-trend cards, timing-recommendation widget, predictive charts. (Coupled to #7.)</w:t>
      </w:r>
    </w:p>
    <w:p>
      <w:pPr>
        <w:pStyle w:val="Heading2"/>
      </w:pPr>
      <w:r>
        <w:t xml:space="preserve">8.11 Layer 10 — Human advisor network orchestration</w:t>
      </w:r>
    </w:p>
    <w:p>
      <w:pPr>
        <w:spacing w:after="120" w:line="276"/>
      </w:pPr>
      <w:r>
        <w:t xml:space="preserve">AI alone isn't enough — use the hybrid model. Build a vetted advisor marketplace (investment bankers, M&amp;A lawyers, accountants, tax advisors, industry specialists, integration consultants) with AI-assisted matching on deal size, industry, geography, complexity, prior outcomes. The biggest deals still require humans; owning the network creates a partner/referral engine. </w:t>
      </w:r>
      <w:r>
        <w:rPr>
          <w:b/>
          <w:bCs/>
        </w:rPr>
        <w:t xml:space="preserve">Design:</w:t>
      </w:r>
      <w:r>
        <w:t xml:space="preserve"> advisor directory, match recommendations, engagement workflow, performance reviews.</w:t>
      </w:r>
    </w:p>
    <w:p>
      <w:pPr>
        <w:pStyle w:val="Heading2"/>
      </w:pPr>
      <w:r>
        <w:t xml:space="preserve">8.12 Layer 11 — Security, legal &amp; enterprise-grade trust (must-have)</w:t>
      </w:r>
    </w:p>
    <w:p>
      <w:pPr>
        <w:spacing w:after="120" w:line="276"/>
      </w:pPr>
      <w:r>
        <w:t xml:space="preserve">Non-negotiable for large deals, PE firms, and public companies: SOC 2 Type II, ISO 27001, end-to-end encryption, zero-trust access controls, granular permissions, audit logs, data-residency options, secure virtual data rooms, AI redaction &amp; watermarking, legal-hold functionality. </w:t>
      </w:r>
      <w:r>
        <w:rPr>
          <w:b/>
          <w:bCs/>
        </w:rPr>
        <w:t xml:space="preserve">Design:</w:t>
      </w:r>
      <w:r>
        <w:t xml:space="preserve"> security center, permission-matrix UI, activity audit log, data-room controls.</w:t>
      </w:r>
    </w:p>
    <w:p>
      <w:pPr>
        <w:pStyle w:val="Heading2"/>
      </w:pPr>
      <w:r>
        <w:t xml:space="preserve">8.13 Layer 12 — Outcome &amp; network flywheel (the real moat)</w:t>
      </w:r>
    </w:p>
    <w:p>
      <w:pPr>
        <w:spacing w:after="120" w:line="276"/>
      </w:pPr>
      <w:r>
        <w:t xml:space="preserve">The most important layer. Every completed transaction feeds back: valuation multiples, timeline, deal structure, financing mix, advisor performance, buyer/seller behavior, negotiation patterns, integration outcomes, success/failure reasons. This enables better matching, more accurate valuations, close-probability prediction, industry benchmarking, and AI recommendations competitors cannot replicate. </w:t>
      </w:r>
      <w:r>
        <w:rPr>
          <w:b/>
          <w:bCs/>
        </w:rPr>
        <w:t xml:space="preserve">Design:</w:t>
      </w:r>
      <w:r>
        <w:t xml:space="preserve"> outcome-analytics dashboard, benchmarking reports, deal-performance insights, AI-learning indicators.</w:t>
      </w:r>
    </w:p>
    <w:p>
      <w:pPr>
        <w:pStyle w:val="Heading1"/>
      </w:pPr>
      <w:r>
        <w:t xml:space="preserve">8A. Platform foundations (world-class &amp; fully compliant)</w:t>
      </w:r>
    </w:p>
    <w:p>
      <w:pPr>
        <w:spacing w:after="120" w:line="276"/>
      </w:pPr>
      <w:r>
        <w:t xml:space="preserve">These five layers make ForwardOS deployable for serious counterparties across North America and the GCC. Unlike the twelve marketplace layers, they cannot be sequenced late — they must be in the spine from Phase 0.</w:t>
      </w:r>
    </w:p>
    <w:p>
      <w:pPr>
        <w:pStyle w:val="Heading2"/>
      </w:pPr>
      <w:r>
        <w:t xml:space="preserve">8.14 Layer 13 — Internationalization, localization &amp; multi-currency</w:t>
      </w:r>
    </w:p>
    <w:p>
      <w:pPr>
        <w:spacing w:after="120" w:line="276"/>
      </w:pPr>
      <w:r>
        <w:rPr>
          <w:b/>
          <w:bCs/>
        </w:rPr>
        <w:t xml:space="preserve">Official launch languages: English and Arabic</w:t>
      </w:r>
      <w:r>
        <w:t xml:space="preserve">, with full </w:t>
      </w:r>
      <w:r>
        <w:rPr>
          <w:b/>
          <w:bCs/>
        </w:rPr>
        <w:t xml:space="preserve">right-to-left (RTL)</w:t>
      </w:r>
      <w:r>
        <w:t xml:space="preserve"> support — not just translated strings but mirrored layouts, bidirectional text, Arabic numerals and date formats (Hijri and Gregorian), and locale-aware sorting. Architect for more languages later (e.g., French for Canada), but EN and AR are first-class on day one.</w:t>
      </w:r>
    </w:p>
    <w:p>
      <w:pPr>
        <w:spacing w:after="120" w:line="276"/>
      </w:pPr>
      <w:r>
        <w:rPr>
          <w:b/>
          <w:bCs/>
        </w:rPr>
        <w:t xml:space="preserve">Supported launch currencies: USD, CAD, AED (UAE Dirham), and SAR (Saudi Riyal).</w:t>
      </w:r>
      <w:r>
        <w:t xml:space="preserve"> Every monetary value carries an explicit currency code; amounts are stored in native currency and converted only for display using time-stamped FX rates (never destructively). Valuations, term sheets, financing models, and benchmarks are all currency-aware.</w:t>
      </w:r>
    </w:p>
    <w:p>
      <w:pPr>
        <w:spacing w:after="120" w:line="276"/>
      </w:pPr>
      <w:r>
        <w:rPr>
          <w:b/>
          <w:bCs/>
        </w:rPr>
        <w:t xml:space="preserve">Design:</w:t>
      </w:r>
      <w:r>
        <w:t xml:space="preserve"> EN/AR language toggle with RTL mirroring, currency selector, locale-aware number/date/calendar formatting, translation-management workflow, per-document language tagging, FX-rate panel with as-of timestamps. </w:t>
      </w:r>
      <w:r>
        <w:rPr>
          <w:b/>
          <w:bCs/>
        </w:rPr>
        <w:t xml:space="preserve">Build note:</w:t>
      </w:r>
      <w:r>
        <w:t xml:space="preserve"> externalize all copy from the first commit; never hard-code strings or currency symbols; have Arabic legal/financial terminology reviewed by a qualified translator before launch.</w:t>
      </w:r>
    </w:p>
    <w:p>
      <w:pPr>
        <w:pStyle w:val="Heading2"/>
      </w:pPr>
      <w:r>
        <w:t xml:space="preserve">8.15 Layer 14 — Full document scanner &amp; secure intake</w:t>
      </w:r>
    </w:p>
    <w:p>
      <w:pPr>
        <w:spacing w:after="120" w:line="276"/>
      </w:pPr>
      <w:r>
        <w:t xml:space="preserve">Every file entering the platform passes through a full scanner before it is stored or shared:</w:t>
      </w:r>
    </w:p>
    <w:p>
      <w:pPr>
        <w:pStyle w:val="ListParagraph"/>
        <w:numPr>
          <w:ilvl w:val="0"/>
          <w:numId w:val="2"/>
        </w:numPr>
        <w:spacing w:after="60"/>
      </w:pPr>
      <w:r>
        <w:rPr>
          <w:b/>
          <w:bCs/>
        </w:rPr>
        <w:t xml:space="preserve">Malware / antivirus scanning</w:t>
      </w:r>
      <w:r>
        <w:t xml:space="preserve"> and file-type validation on every upload.</w:t>
      </w:r>
    </w:p>
    <w:p>
      <w:pPr>
        <w:pStyle w:val="ListParagraph"/>
        <w:numPr>
          <w:ilvl w:val="0"/>
          <w:numId w:val="2"/>
        </w:numPr>
        <w:spacing w:after="60"/>
      </w:pPr>
      <w:r>
        <w:rPr>
          <w:b/>
          <w:bCs/>
        </w:rPr>
        <w:t xml:space="preserve">OCR</w:t>
      </w:r>
      <w:r>
        <w:t xml:space="preserve"> so scanned PDFs and images become searchable, indexable, and AI-readable.</w:t>
      </w:r>
    </w:p>
    <w:p>
      <w:pPr>
        <w:pStyle w:val="ListParagraph"/>
        <w:numPr>
          <w:ilvl w:val="0"/>
          <w:numId w:val="2"/>
        </w:numPr>
        <w:spacing w:after="60"/>
      </w:pPr>
      <w:r>
        <w:rPr>
          <w:b/>
          <w:bCs/>
        </w:rPr>
        <w:t xml:space="preserve">PII / sensitive-data detection</w:t>
      </w:r>
      <w:r>
        <w:t xml:space="preserve"> (names, Emirates ID, Saudi national ID, passport numbers, bank details, IBANs) with classification and redaction candidates.</w:t>
      </w:r>
    </w:p>
    <w:p>
      <w:pPr>
        <w:pStyle w:val="ListParagraph"/>
        <w:numPr>
          <w:ilvl w:val="0"/>
          <w:numId w:val="2"/>
        </w:numPr>
        <w:spacing w:after="60"/>
      </w:pPr>
      <w:r>
        <w:rPr>
          <w:b/>
          <w:bCs/>
        </w:rPr>
        <w:t xml:space="preserve">Metadata stripping</w:t>
      </w:r>
      <w:r>
        <w:t xml:space="preserve"> (EXIF/author/revision) — ties to staged disclosure (L2).</w:t>
      </w:r>
    </w:p>
    <w:p>
      <w:pPr>
        <w:pStyle w:val="ListParagraph"/>
        <w:numPr>
          <w:ilvl w:val="0"/>
          <w:numId w:val="2"/>
        </w:numPr>
        <w:spacing w:after="60"/>
      </w:pPr>
      <w:r>
        <w:rPr>
          <w:b/>
          <w:bCs/>
        </w:rPr>
        <w:t xml:space="preserve">Integrity &amp; provenance</w:t>
      </w:r>
      <w:r>
        <w:t xml:space="preserve"> — hash every file, log the uploader, version it, watermark per recipient.</w:t>
      </w:r>
    </w:p>
    <w:p>
      <w:pPr>
        <w:spacing w:after="120" w:line="276"/>
      </w:pPr>
      <w:r>
        <w:rPr>
          <w:b/>
          <w:bCs/>
        </w:rPr>
        <w:t xml:space="preserve">Design:</w:t>
      </w:r>
      <w:r>
        <w:t xml:space="preserve"> upload-scan status indicator, quarantine view for flagged files, OCR/searchable-text toggle, detected-PII report, redaction queue.</w:t>
      </w:r>
    </w:p>
    <w:p>
      <w:pPr>
        <w:pStyle w:val="Heading2"/>
      </w:pPr>
      <w:r>
        <w:t xml:space="preserve">8.16 Layer 15 — Internal communications</w:t>
      </w:r>
    </w:p>
    <w:p>
      <w:pPr>
        <w:spacing w:after="120" w:line="276"/>
      </w:pPr>
      <w:r>
        <w:t xml:space="preserve">A secure, in-platform communications layer so conversation never has to leave the system (losing context, audit trail, and security):</w:t>
      </w:r>
    </w:p>
    <w:p>
      <w:pPr>
        <w:pStyle w:val="ListParagraph"/>
        <w:numPr>
          <w:ilvl w:val="0"/>
          <w:numId w:val="2"/>
        </w:numPr>
        <w:spacing w:after="60"/>
      </w:pPr>
      <w:r>
        <w:rPr>
          <w:b/>
          <w:bCs/>
        </w:rPr>
        <w:t xml:space="preserve">Threaded messaging</w:t>
      </w:r>
      <w:r>
        <w:t xml:space="preserve"> scoped to a deal, counterparty, advisor, or internal team.</w:t>
      </w:r>
    </w:p>
    <w:p>
      <w:pPr>
        <w:pStyle w:val="ListParagraph"/>
        <w:numPr>
          <w:ilvl w:val="0"/>
          <w:numId w:val="2"/>
        </w:numPr>
        <w:spacing w:after="60"/>
      </w:pPr>
      <w:r>
        <w:rPr>
          <w:b/>
          <w:bCs/>
        </w:rPr>
        <w:t xml:space="preserve">Notifications &amp; alerts</w:t>
      </w:r>
      <w:r>
        <w:t xml:space="preserve"> (in-app, email, optional SMS) tied to engine outputs, deal-room events, and compliance triggers — fully localized EN/AR.</w:t>
      </w:r>
    </w:p>
    <w:p>
      <w:pPr>
        <w:pStyle w:val="ListParagraph"/>
        <w:numPr>
          <w:ilvl w:val="0"/>
          <w:numId w:val="2"/>
        </w:numPr>
        <w:spacing w:after="60"/>
      </w:pPr>
      <w:r>
        <w:rPr>
          <w:b/>
          <w:bCs/>
        </w:rPr>
        <w:t xml:space="preserve">@-mentions, attachments (scanned via L14), read receipts, retention/legal-hold.</w:t>
      </w:r>
    </w:p>
    <w:p>
      <w:pPr>
        <w:pStyle w:val="ListParagraph"/>
        <w:numPr>
          <w:ilvl w:val="0"/>
          <w:numId w:val="2"/>
        </w:numPr>
        <w:spacing w:after="60"/>
      </w:pPr>
      <w:r>
        <w:rPr>
          <w:b/>
          <w:bCs/>
        </w:rPr>
        <w:t xml:space="preserve">Announcement / broadcast channels</w:t>
      </w:r>
      <w:r>
        <w:t xml:space="preserve"> for admins; secure external invitations for counterparties and advisors.</w:t>
      </w:r>
    </w:p>
    <w:p>
      <w:pPr>
        <w:pStyle w:val="ListParagraph"/>
        <w:numPr>
          <w:ilvl w:val="0"/>
          <w:numId w:val="2"/>
        </w:numPr>
        <w:spacing w:after="60"/>
      </w:pPr>
      <w:r>
        <w:t xml:space="preserve">All communications logged, encrypted, permissioned, and exportable for audit.</w:t>
      </w:r>
    </w:p>
    <w:p>
      <w:pPr>
        <w:spacing w:after="120" w:line="276"/>
      </w:pPr>
      <w:r>
        <w:rPr>
          <w:b/>
          <w:bCs/>
        </w:rPr>
        <w:t xml:space="preserve">Design:</w:t>
      </w:r>
      <w:r>
        <w:t xml:space="preserve"> deal-scoped inbox, notification center, announcement composer, retention/legal-hold controls.</w:t>
      </w:r>
    </w:p>
    <w:p>
      <w:pPr>
        <w:pStyle w:val="Heading2"/>
      </w:pPr>
      <w:r>
        <w:t xml:space="preserve">8.17 Layer 16 — Admin functions &amp; platform governance</w:t>
      </w:r>
    </w:p>
    <w:p>
      <w:pPr>
        <w:spacing w:after="120" w:line="276"/>
      </w:pPr>
      <w:r>
        <w:t xml:space="preserve">A full administrative control plane:</w:t>
      </w:r>
    </w:p>
    <w:p>
      <w:pPr>
        <w:pStyle w:val="ListParagraph"/>
        <w:numPr>
          <w:ilvl w:val="0"/>
          <w:numId w:val="2"/>
        </w:numPr>
        <w:spacing w:after="60"/>
      </w:pPr>
      <w:r>
        <w:rPr>
          <w:b/>
          <w:bCs/>
        </w:rPr>
        <w:t xml:space="preserve">User &amp; organization management</w:t>
      </w:r>
      <w:r>
        <w:t xml:space="preserve"> — invite, suspend, offboard; org/team hierarchies; seat &amp; license management.</w:t>
      </w:r>
    </w:p>
    <w:p>
      <w:pPr>
        <w:pStyle w:val="ListParagraph"/>
        <w:numPr>
          <w:ilvl w:val="0"/>
          <w:numId w:val="2"/>
        </w:numPr>
        <w:spacing w:after="60"/>
      </w:pPr>
      <w:r>
        <w:rPr>
          <w:b/>
          <w:bCs/>
        </w:rPr>
        <w:t xml:space="preserve">Role-based access control (RBAC)</w:t>
      </w:r>
      <w:r>
        <w:t xml:space="preserve"> with granular, resource-level permissions and a visual permission matrix.</w:t>
      </w:r>
    </w:p>
    <w:p>
      <w:pPr>
        <w:pStyle w:val="ListParagraph"/>
        <w:numPr>
          <w:ilvl w:val="0"/>
          <w:numId w:val="2"/>
        </w:numPr>
        <w:spacing w:after="60"/>
      </w:pPr>
      <w:r>
        <w:rPr>
          <w:b/>
          <w:bCs/>
        </w:rPr>
        <w:t xml:space="preserve">Verification &amp; onboarding admin</w:t>
      </w:r>
      <w:r>
        <w:t xml:space="preserve"> — KYC/AML review queues, proof-of-funds approvals, broker/advisor vetting, auditable trust-profile overrides.</w:t>
      </w:r>
    </w:p>
    <w:p>
      <w:pPr>
        <w:pStyle w:val="ListParagraph"/>
        <w:numPr>
          <w:ilvl w:val="0"/>
          <w:numId w:val="2"/>
        </w:numPr>
        <w:spacing w:after="60"/>
      </w:pPr>
      <w:r>
        <w:rPr>
          <w:b/>
          <w:bCs/>
        </w:rPr>
        <w:t xml:space="preserve">Configuration</w:t>
      </w:r>
      <w:r>
        <w:t xml:space="preserve"> — disclosure tiers, fee/commission rules, supported currencies &amp; FX sources, language packs, feature flags.</w:t>
      </w:r>
    </w:p>
    <w:p>
      <w:pPr>
        <w:pStyle w:val="ListParagraph"/>
        <w:numPr>
          <w:ilvl w:val="0"/>
          <w:numId w:val="2"/>
        </w:numPr>
        <w:spacing w:after="60"/>
      </w:pPr>
      <w:r>
        <w:rPr>
          <w:b/>
          <w:bCs/>
        </w:rPr>
        <w:t xml:space="preserve">Monitoring &amp; audit</w:t>
      </w:r>
      <w:r>
        <w:t xml:space="preserve"> — full activity audit log, anomaly/abuse detection, consented + logged impersonation for support, platform-health dashboards.</w:t>
      </w:r>
    </w:p>
    <w:p>
      <w:pPr>
        <w:spacing w:after="120" w:line="276"/>
      </w:pPr>
      <w:r>
        <w:rPr>
          <w:b/>
          <w:bCs/>
        </w:rPr>
        <w:t xml:space="preserve">Design:</w:t>
      </w:r>
      <w:r>
        <w:t xml:space="preserve"> admin console, RBAC/permission-matrix UI, verification review queues, configuration center, audit-log explorer.</w:t>
      </w:r>
    </w:p>
    <w:p>
      <w:pPr>
        <w:pStyle w:val="Heading2"/>
      </w:pPr>
      <w:r>
        <w:t xml:space="preserve">8.18 Layer 17 — Protected data &amp; the full compliance framework</w:t>
      </w:r>
    </w:p>
    <w:p>
      <w:pPr>
        <w:spacing w:after="120" w:line="276"/>
      </w:pPr>
      <w:r>
        <w:t xml:space="preserve">The “fully compliant” backbone. Treat data by classification (Public → Internal → Confidential → Restricted) and enforce controls per class end-to-end:</w:t>
      </w:r>
    </w:p>
    <w:p>
      <w:pPr>
        <w:pStyle w:val="ListParagraph"/>
        <w:numPr>
          <w:ilvl w:val="0"/>
          <w:numId w:val="2"/>
        </w:numPr>
        <w:spacing w:after="60"/>
      </w:pPr>
      <w:r>
        <w:rPr>
          <w:b/>
          <w:bCs/>
        </w:rPr>
        <w:t xml:space="preserve">Encryption</w:t>
      </w:r>
      <w:r>
        <w:t xml:space="preserve"> in transit and at rest; field-level encryption for the most sensitive data; key management with rotation.</w:t>
      </w:r>
    </w:p>
    <w:p>
      <w:pPr>
        <w:pStyle w:val="ListParagraph"/>
        <w:numPr>
          <w:ilvl w:val="0"/>
          <w:numId w:val="2"/>
        </w:numPr>
        <w:spacing w:after="60"/>
      </w:pPr>
      <w:r>
        <w:rPr>
          <w:b/>
          <w:bCs/>
        </w:rPr>
        <w:t xml:space="preserve">Data residency</w:t>
      </w:r>
      <w:r>
        <w:t xml:space="preserve"> — store regulated data in-region as required, including GCC residency for UAE and Saudi deals alongside North American options.</w:t>
      </w:r>
    </w:p>
    <w:p>
      <w:pPr>
        <w:pStyle w:val="ListParagraph"/>
        <w:numPr>
          <w:ilvl w:val="0"/>
          <w:numId w:val="2"/>
        </w:numPr>
        <w:spacing w:after="60"/>
      </w:pPr>
      <w:r>
        <w:rPr>
          <w:b/>
          <w:bCs/>
        </w:rPr>
        <w:t xml:space="preserve">Regulatory coverage</w:t>
      </w:r>
      <w:r>
        <w:t xml:space="preserve"> — North America (FINTRAC/AML, privacy law, change-of-control/competition filings) and the GCC: UAE (DIFC/ADGM, UAE PDPL) and Saudi Arabia (SDAIA PDPL, SAMA, CMA); sanctions/OFAC screening; beneficial-ownership verification.</w:t>
      </w:r>
    </w:p>
    <w:p>
      <w:pPr>
        <w:pStyle w:val="ListParagraph"/>
        <w:numPr>
          <w:ilvl w:val="0"/>
          <w:numId w:val="2"/>
        </w:numPr>
        <w:spacing w:after="60"/>
      </w:pPr>
      <w:r>
        <w:rPr>
          <w:b/>
          <w:bCs/>
        </w:rPr>
        <w:t xml:space="preserve">Certifications &amp; standards</w:t>
      </w:r>
      <w:r>
        <w:t xml:space="preserve"> — SOC 2 Type II and ISO 27001 (L11), plus GDPR-grade data-subject rights applied globally.</w:t>
      </w:r>
    </w:p>
    <w:p>
      <w:pPr>
        <w:pStyle w:val="ListParagraph"/>
        <w:numPr>
          <w:ilvl w:val="0"/>
          <w:numId w:val="2"/>
        </w:numPr>
        <w:spacing w:after="60"/>
      </w:pPr>
      <w:r>
        <w:rPr>
          <w:b/>
          <w:bCs/>
        </w:rPr>
        <w:t xml:space="preserve">Consent, retention &amp; legal hold</w:t>
      </w:r>
      <w:r>
        <w:t xml:space="preserve"> — explicit consent capture, configurable retention, legal-hold that overrides deletion.</w:t>
      </w:r>
    </w:p>
    <w:p>
      <w:pPr>
        <w:pStyle w:val="ListParagraph"/>
        <w:numPr>
          <w:ilvl w:val="0"/>
          <w:numId w:val="2"/>
        </w:numPr>
        <w:spacing w:after="60"/>
      </w:pPr>
      <w:r>
        <w:rPr>
          <w:b/>
          <w:bCs/>
        </w:rPr>
        <w:t xml:space="preserve">Sharia-compliance option</w:t>
      </w:r>
      <w:r>
        <w:t xml:space="preserve"> for acquisition-financing structures where required in GCC markets.</w:t>
      </w:r>
    </w:p>
    <w:p>
      <w:pPr>
        <w:spacing w:after="120" w:line="276"/>
      </w:pPr>
      <w:r>
        <w:rPr>
          <w:b/>
          <w:bCs/>
        </w:rPr>
        <w:t xml:space="preserve">Design:</w:t>
      </w:r>
      <w:r>
        <w:t xml:space="preserve"> data-classification labels across the UI, compliance center with jurisdiction matrix (incl. UAE &amp; KSA), consent &amp; data-rights portal, residency configuration, retention/legal-hold manager.</w:t>
      </w:r>
    </w:p>
    <w:p>
      <w:pPr>
        <w:spacing w:after="120" w:line="276"/>
      </w:pPr>
      <w:r>
        <w:t xml:space="preserve">Arabic + AED/SAR signal serious GCC ambitions. Winning UAE and Saudi institutional, family-office, and private-company deals is impossible without in-region data residency, PDPL compliance, and often Sharia-compliant acquisition financing — so these are launch requirements, not roadmap nice-to-haves.</w:t>
      </w:r>
    </w:p>
    <w:p>
      <w:pPr>
        <w:pStyle w:val="Heading2"/>
      </w:pPr>
      <w:r>
        <w:t xml:space="preserve">8.19 Priority order for the design team</w:t>
      </w:r>
    </w:p>
    <w:p>
      <w:pPr>
        <w:spacing w:after="120" w:line="276"/>
      </w:pPr>
      <w:r>
        <w:rPr>
          <w:b/>
          <w:bCs/>
        </w:rPr>
        <w:t xml:space="preserve">Highest impact / moat-building:</w:t>
      </w:r>
      <w:r>
        <w:t xml:space="preserve"> (1) Trust &amp; reputation graph, (2) Deal Room OS, (3) Counterparty matching engine, (4) Outcome data capture, (5) Negotiation intelligence.</w:t>
      </w:r>
    </w:p>
    <w:p>
      <w:pPr>
        <w:spacing w:after="120" w:line="276"/>
      </w:pPr>
      <w:r>
        <w:rPr>
          <w:b/>
          <w:bCs/>
        </w:rPr>
        <w:t xml:space="preserve">High-value expansion:</w:t>
      </w:r>
      <w:r>
        <w:t xml:space="preserve"> (6) Acquisition-financing marketplace, (7) Market intelligence &amp; predictive analytics, (8) Post-close integration OS, (9) Advisor orchestration network.</w:t>
      </w:r>
    </w:p>
    <w:p>
      <w:pPr>
        <w:spacing w:after="120" w:line="276"/>
      </w:pPr>
      <w:r>
        <w:rPr>
          <w:b/>
          <w:bCs/>
        </w:rPr>
        <w:t xml:space="preserve">Enterprise readiness:</w:t>
      </w:r>
      <w:r>
        <w:t xml:space="preserve"> (10) SOC 2 / ISO architecture, (11) Advanced access controls, (12) Cross-border compliance automation, plus audit-grade logging and provenance.</w:t>
      </w:r>
    </w:p>
    <w:p>
      <w:pPr>
        <w:spacing w:after="120" w:line="276"/>
      </w:pPr>
      <w:r>
        <w:rPr>
          <w:b/>
          <w:bCs/>
        </w:rPr>
        <w:t xml:space="preserve">Platform foundations (must ship from the start, in parallel):</w:t>
      </w:r>
      <w:r>
        <w:t xml:space="preserve"> bilingual EN/AR + multi-currency (L13), full document scanner &amp; secure intake (L14), internal communications (L15), admin &amp; governance (L16), and the protected-data compliance framework with GCC + North America residency and PDPL/SOC 2/ISO coverage (L17). These are woven through Phases 0–5, not a separate phase.</w:t>
      </w:r>
    </w:p>
    <w:p>
      <w:pPr>
        <w:pStyle w:val="Heading2"/>
      </w:pPr>
      <w:r>
        <w:t xml:space="preserve">8.20 The biggest strategic insight</w:t>
      </w:r>
    </w:p>
    <w:p>
      <w:pPr>
        <w:spacing w:after="120" w:line="276"/>
      </w:pPr>
      <w:r>
        <w:t xml:space="preserve">Marketplaces don't win by having the most listings — they win by becoming the trusted infrastructure layer. If ForwardOS becomes the place where deals are discovered, trust is established, documents are exchanged, acquisition financing is arranged, negotiations happen, advisors collaborate, and transactions close, the network effects become extremely difficult to dislodge. That is the path to becoming the dominant operating system for corporate transactions globally.</w:t>
      </w:r>
    </w:p>
    <w:p>
      <w:pPr>
        <w:pageBreakBefore/>
        <w:shd w:fill="1F3864" w:val="clear"/>
        <w:spacing w:after="200" w:before="200"/>
        <w:jc w:val="center"/>
      </w:pPr>
      <w:r>
        <w:rPr>
          <w:b/>
          <w:bCs/>
          <w:color w:val="FFFFFF"/>
          <w:sz w:val="30"/>
          <w:szCs w:val="30"/>
        </w:rPr>
        <w:t xml:space="preserve">PART III — BUILD EXECUTION</w:t>
      </w:r>
    </w:p>
    <w:p>
      <w:pPr>
        <w:pStyle w:val="Heading1"/>
      </w:pPr>
      <w:r>
        <w:t xml:space="preserve">9. Phased build roadmap</w:t>
      </w:r>
    </w:p>
    <w:p>
      <w:pPr>
        <w:spacing w:after="120" w:line="276"/>
      </w:pPr>
      <w:r>
        <w:t xml:space="preserve">Each phase ends with something usable and with the graph richer than before. Delta-Review layers are folded in where they create the most leverage; the five foundations are anchored in Phase 0.</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300"/>
        <w:gridCol w:w="4660"/>
        <w:gridCol w:w="2400"/>
      </w:tblGrid>
      <w:tr>
        <w:trPr>
          <w:tblHeader/>
        </w:trPr>
        <w:tc>
          <w:tcPr>
            <w:tcW w:type="dxa" w:w="2300"/>
            <w:shd w:fill="1F3864" w:val="clear"/>
            <w:tcMar>
              <w:top w:type="dxa" w:w="80"/>
              <w:left w:type="dxa" w:w="120"/>
              <w:bottom w:type="dxa" w:w="80"/>
              <w:right w:type="dxa" w:w="120"/>
            </w:tcMar>
          </w:tcPr>
          <w:p>
            <w:r>
              <w:rPr>
                <w:b/>
                <w:bCs/>
                <w:color w:val="FFFFFF"/>
                <w:sz w:val="20"/>
                <w:szCs w:val="20"/>
              </w:rPr>
              <w:t xml:space="preserve">Phase</w:t>
            </w:r>
          </w:p>
        </w:tc>
        <w:tc>
          <w:tcPr>
            <w:tcW w:type="dxa" w:w="4660"/>
            <w:shd w:fill="1F3864" w:val="clear"/>
            <w:tcMar>
              <w:top w:type="dxa" w:w="80"/>
              <w:left w:type="dxa" w:w="120"/>
              <w:bottom w:type="dxa" w:w="80"/>
              <w:right w:type="dxa" w:w="120"/>
            </w:tcMar>
          </w:tcPr>
          <w:p>
            <w:r>
              <w:rPr>
                <w:b/>
                <w:bCs/>
                <w:color w:val="FFFFFF"/>
                <w:sz w:val="20"/>
                <w:szCs w:val="20"/>
              </w:rPr>
              <w:t xml:space="preserve">Scope</w:t>
            </w:r>
          </w:p>
        </w:tc>
        <w:tc>
          <w:tcPr>
            <w:tcW w:type="dxa" w:w="2400"/>
            <w:shd w:fill="1F3864" w:val="clear"/>
            <w:tcMar>
              <w:top w:type="dxa" w:w="80"/>
              <w:left w:type="dxa" w:w="120"/>
              <w:bottom w:type="dxa" w:w="80"/>
              <w:right w:type="dxa" w:w="120"/>
            </w:tcMar>
          </w:tcPr>
          <w:p>
            <w:r>
              <w:rPr>
                <w:b/>
                <w:bCs/>
                <w:color w:val="FFFFFF"/>
                <w:sz w:val="20"/>
                <w:szCs w:val="20"/>
              </w:rPr>
              <w:t xml:space="preserve">Exit criteria</w:t>
            </w:r>
          </w:p>
        </w:tc>
      </w:tr>
      <w:tr>
        <w:tc>
          <w:tcPr>
            <w:tcW w:type="dxa" w:w="2300"/>
            <w:shd w:fill="FFFFFF" w:val="clear"/>
            <w:tcMar>
              <w:top w:type="dxa" w:w="70"/>
              <w:left w:type="dxa" w:w="120"/>
              <w:bottom w:type="dxa" w:w="70"/>
              <w:right w:type="dxa" w:w="120"/>
            </w:tcMar>
          </w:tcPr>
          <w:p>
            <w:r>
              <w:t xml:space="preserve">0 — Foundations</w:t>
            </w:r>
          </w:p>
        </w:tc>
        <w:tc>
          <w:tcPr>
            <w:tcW w:type="dxa" w:w="4660"/>
            <w:shd w:fill="FFFFFF" w:val="clear"/>
            <w:tcMar>
              <w:top w:type="dxa" w:w="70"/>
              <w:left w:type="dxa" w:w="120"/>
              <w:bottom w:type="dxa" w:w="70"/>
              <w:right w:type="dxa" w:w="120"/>
            </w:tcMar>
          </w:tcPr>
          <w:p>
            <w:r>
              <w:t xml:space="preserve">Graph schema; entity resolution; Graph API. Trust-graph scaffolding (L1) + security baseline (L11). Foundations: EN/AR + multi-currency (L13), document scanner (L14), internal comms scaffold (L15), admin/RBAC (L16), protected-data + residency NA/GCC + PDPL/SOC 2/ISO (L17).</w:t>
            </w:r>
          </w:p>
        </w:tc>
        <w:tc>
          <w:tcPr>
            <w:tcW w:type="dxa" w:w="2400"/>
            <w:shd w:fill="FFFFFF" w:val="clear"/>
            <w:tcMar>
              <w:top w:type="dxa" w:w="70"/>
              <w:left w:type="dxa" w:w="120"/>
              <w:bottom w:type="dxa" w:w="70"/>
              <w:right w:type="dxa" w:w="120"/>
            </w:tcMar>
          </w:tcPr>
          <w:p>
            <w:r>
              <w:t xml:space="preserve">A participant is modeled end-to-end with sourced, classification-labeled, time-versioned attributes and a trust profile — on a bilingual, multi-currency, residency-aware, SOC-2-aligned base, with every upload scanned.</w:t>
            </w:r>
          </w:p>
        </w:tc>
      </w:tr>
      <w:tr>
        <w:tc>
          <w:tcPr>
            <w:tcW w:type="dxa" w:w="2300"/>
            <w:shd w:fill="EEF3F8" w:val="clear"/>
            <w:tcMar>
              <w:top w:type="dxa" w:w="70"/>
              <w:left w:type="dxa" w:w="120"/>
              <w:bottom w:type="dxa" w:w="70"/>
              <w:right w:type="dxa" w:w="120"/>
            </w:tcMar>
          </w:tcPr>
          <w:p>
            <w:r>
              <w:t xml:space="preserve">1 — First decision surface</w:t>
            </w:r>
          </w:p>
        </w:tc>
        <w:tc>
          <w:tcPr>
            <w:tcW w:type="dxa" w:w="4660"/>
            <w:shd w:fill="EEF3F8" w:val="clear"/>
            <w:tcMar>
              <w:top w:type="dxa" w:w="70"/>
              <w:left w:type="dxa" w:w="120"/>
              <w:bottom w:type="dxa" w:w="70"/>
              <w:right w:type="dxa" w:w="120"/>
            </w:tcMar>
          </w:tcPr>
          <w:p>
            <w:r>
              <w:t xml:space="preserve">Opportunity Engine (#2) + Strategic Paths v1 (~6 paths: Grow, Merger, Full Sale, Acquisition Target, Partnership, Restructuring); Strategic Path Dashboard.</w:t>
            </w:r>
          </w:p>
        </w:tc>
        <w:tc>
          <w:tcPr>
            <w:tcW w:type="dxa" w:w="2400"/>
            <w:shd w:fill="EEF3F8" w:val="clear"/>
            <w:tcMar>
              <w:top w:type="dxa" w:w="70"/>
              <w:left w:type="dxa" w:w="120"/>
              <w:bottom w:type="dxa" w:w="70"/>
              <w:right w:type="dxa" w:w="120"/>
            </w:tcMar>
          </w:tcPr>
          <w:p>
            <w:r>
              <w:t xml:space="preserve">For a seeded company, a ranked, explained set of transactional paths.</w:t>
            </w:r>
          </w:p>
        </w:tc>
      </w:tr>
      <w:tr>
        <w:tc>
          <w:tcPr>
            <w:tcW w:type="dxa" w:w="2300"/>
            <w:shd w:fill="FFFFFF" w:val="clear"/>
            <w:tcMar>
              <w:top w:type="dxa" w:w="70"/>
              <w:left w:type="dxa" w:w="120"/>
              <w:bottom w:type="dxa" w:w="70"/>
              <w:right w:type="dxa" w:w="120"/>
            </w:tcMar>
          </w:tcPr>
          <w:p>
            <w:r>
              <w:t xml:space="preserve">2 — Network + disclosure</w:t>
            </w:r>
          </w:p>
        </w:tc>
        <w:tc>
          <w:tcPr>
            <w:tcW w:type="dxa" w:w="4660"/>
            <w:shd w:fill="FFFFFF" w:val="clear"/>
            <w:tcMar>
              <w:top w:type="dxa" w:w="70"/>
              <w:left w:type="dxa" w:w="120"/>
              <w:bottom w:type="dxa" w:w="70"/>
              <w:right w:type="dxa" w:w="120"/>
            </w:tcMar>
          </w:tcPr>
          <w:p>
            <w:r>
              <w:t xml:space="preserve">Acquirer &amp; Capital Network (#8); Counterparty Matching (L5); Buy/Sell readiness (#5,#6); staged disclosure (L2).</w:t>
            </w:r>
          </w:p>
        </w:tc>
        <w:tc>
          <w:tcPr>
            <w:tcW w:type="dxa" w:w="2400"/>
            <w:shd w:fill="FFFFFF" w:val="clear"/>
            <w:tcMar>
              <w:top w:type="dxa" w:w="70"/>
              <w:left w:type="dxa" w:w="120"/>
              <w:bottom w:type="dxa" w:w="70"/>
              <w:right w:type="dxa" w:w="120"/>
            </w:tcMar>
          </w:tcPr>
          <w:p>
            <w:r>
              <w:t xml:space="preserve">A path comes with a match-scored counterparty list, gap list, and tiered disclosure controls.</w:t>
            </w:r>
          </w:p>
        </w:tc>
      </w:tr>
      <w:tr>
        <w:tc>
          <w:tcPr>
            <w:tcW w:type="dxa" w:w="2300"/>
            <w:shd w:fill="EEF3F8" w:val="clear"/>
            <w:tcMar>
              <w:top w:type="dxa" w:w="70"/>
              <w:left w:type="dxa" w:w="120"/>
              <w:bottom w:type="dxa" w:w="70"/>
              <w:right w:type="dxa" w:w="120"/>
            </w:tcMar>
          </w:tcPr>
          <w:p>
            <w:r>
              <w:t xml:space="preserve">3 — Deal Room + differentiators</w:t>
            </w:r>
          </w:p>
        </w:tc>
        <w:tc>
          <w:tcPr>
            <w:tcW w:type="dxa" w:w="4660"/>
            <w:shd w:fill="EEF3F8" w:val="clear"/>
            <w:tcMar>
              <w:top w:type="dxa" w:w="70"/>
              <w:left w:type="dxa" w:w="120"/>
              <w:bottom w:type="dxa" w:w="70"/>
              <w:right w:type="dxa" w:w="120"/>
            </w:tcMar>
          </w:tcPr>
          <w:p>
            <w:r>
              <w:t xml:space="preserve">Deal Room OS (L3); Roll-Up (#4); Transaction Timing (#7); Distress/Inflection (#3); market intelligence (L9).</w:t>
            </w:r>
          </w:p>
        </w:tc>
        <w:tc>
          <w:tcPr>
            <w:tcW w:type="dxa" w:w="2400"/>
            <w:shd w:fill="EEF3F8" w:val="clear"/>
            <w:tcMar>
              <w:top w:type="dxa" w:w="70"/>
              <w:left w:type="dxa" w:w="120"/>
              <w:bottom w:type="dxa" w:w="70"/>
              <w:right w:type="dxa" w:w="120"/>
            </w:tcMar>
          </w:tcPr>
          <w:p>
            <w:r>
              <w:t xml:space="preserve">Deals execute in-platform; opportunities/risks surfaced proactively.</w:t>
            </w:r>
          </w:p>
        </w:tc>
      </w:tr>
      <w:tr>
        <w:tc>
          <w:tcPr>
            <w:tcW w:type="dxa" w:w="2300"/>
            <w:shd w:fill="FFFFFF" w:val="clear"/>
            <w:tcMar>
              <w:top w:type="dxa" w:w="70"/>
              <w:left w:type="dxa" w:w="120"/>
              <w:bottom w:type="dxa" w:w="70"/>
              <w:right w:type="dxa" w:w="120"/>
            </w:tcMar>
          </w:tcPr>
          <w:p>
            <w:r>
              <w:t xml:space="preserve">4 — Negotiation/financing/advisors + moat</w:t>
            </w:r>
          </w:p>
        </w:tc>
        <w:tc>
          <w:tcPr>
            <w:tcW w:type="dxa" w:w="4660"/>
            <w:shd w:fill="FFFFFF" w:val="clear"/>
            <w:tcMar>
              <w:top w:type="dxa" w:w="70"/>
              <w:left w:type="dxa" w:w="120"/>
              <w:bottom w:type="dxa" w:w="70"/>
              <w:right w:type="dxa" w:w="120"/>
            </w:tcMar>
          </w:tcPr>
          <w:p>
            <w:r>
              <w:t xml:space="preserve">Negotiation (L4); acquisition-financing marketplace (L6); advisor network (L10); Outcome (#11); Digital Twin (#10).</w:t>
            </w:r>
          </w:p>
        </w:tc>
        <w:tc>
          <w:tcPr>
            <w:tcW w:type="dxa" w:w="2400"/>
            <w:shd w:fill="FFFFFF" w:val="clear"/>
            <w:tcMar>
              <w:top w:type="dxa" w:w="70"/>
              <w:left w:type="dxa" w:w="120"/>
              <w:bottom w:type="dxa" w:w="70"/>
              <w:right w:type="dxa" w:w="120"/>
            </w:tcMar>
          </w:tcPr>
          <w:p>
            <w:r>
              <w:t xml:space="preserve">Recommendations personalized &amp; benchmarked; negotiation, financing, advisors in-platform.</w:t>
            </w:r>
          </w:p>
        </w:tc>
      </w:tr>
      <w:tr>
        <w:tc>
          <w:tcPr>
            <w:tcW w:type="dxa" w:w="2300"/>
            <w:shd w:fill="EEF3F8" w:val="clear"/>
            <w:tcMar>
              <w:top w:type="dxa" w:w="70"/>
              <w:left w:type="dxa" w:w="120"/>
              <w:bottom w:type="dxa" w:w="70"/>
              <w:right w:type="dxa" w:w="120"/>
            </w:tcMar>
          </w:tcPr>
          <w:p>
            <w:r>
              <w:t xml:space="preserve">5 — Post-close, compliance, lifecycle, flywheel</w:t>
            </w:r>
          </w:p>
        </w:tc>
        <w:tc>
          <w:tcPr>
            <w:tcW w:type="dxa" w:w="4660"/>
            <w:shd w:fill="EEF3F8" w:val="clear"/>
            <w:tcMar>
              <w:top w:type="dxa" w:w="70"/>
              <w:left w:type="dxa" w:w="120"/>
              <w:bottom w:type="dxa" w:w="70"/>
              <w:right w:type="dxa" w:w="120"/>
            </w:tcMar>
          </w:tcPr>
          <w:p>
            <w:r>
              <w:t xml:space="preserve">Post-close integration (L8); compliance automation (L7); adjacent-module integration; remaining paths; outcome flywheel (L12) instrumented throughout.</w:t>
            </w:r>
          </w:p>
        </w:tc>
        <w:tc>
          <w:tcPr>
            <w:tcW w:type="dxa" w:w="2400"/>
            <w:shd w:fill="EEF3F8" w:val="clear"/>
            <w:tcMar>
              <w:top w:type="dxa" w:w="70"/>
              <w:left w:type="dxa" w:w="120"/>
              <w:bottom w:type="dxa" w:w="70"/>
              <w:right w:type="dxa" w:w="120"/>
            </w:tcMar>
          </w:tcPr>
          <w:p>
            <w:r>
              <w:t xml:space="preserve">One platform spans the full transaction lifecycle: opportunity → counterparty → deal room → negotiation → financing → close → integration.</w:t>
            </w:r>
          </w:p>
        </w:tc>
      </w:tr>
    </w:tbl>
    <w:p>
      <w:pPr>
        <w:pStyle w:val="Heading1"/>
      </w:pPr>
      <w:r>
        <w:t xml:space="preserve">10. Execution steps for the build agent</w:t>
      </w:r>
    </w:p>
    <w:p>
      <w:pPr>
        <w:spacing w:after="120" w:line="276"/>
      </w:pPr>
      <w:r>
        <w:t xml:space="preserve">A concrete, ordered checklist. Treat each as a deliverable with acceptance criteria.</w:t>
      </w:r>
    </w:p>
    <w:p>
      <w:pPr>
        <w:pStyle w:val="ListParagraph"/>
        <w:numPr>
          <w:ilvl w:val="0"/>
          <w:numId w:val="4"/>
        </w:numPr>
        <w:spacing w:after="60"/>
      </w:pPr>
      <w:r>
        <w:t xml:space="preserve">Confirm scope &amp; constraints — target users, data sources, jurisdictions, build stack, budget. Resolve Section 12 questions. (Reconfirm: no capital raising, no IPO.)</w:t>
      </w:r>
    </w:p>
    <w:p>
      <w:pPr>
        <w:pStyle w:val="ListParagraph"/>
        <w:numPr>
          <w:ilvl w:val="0"/>
          <w:numId w:val="4"/>
        </w:numPr>
        <w:spacing w:after="60"/>
      </w:pPr>
      <w:r>
        <w:t xml:space="preserve">Define the graph schema — node/edge/attribute spec with versioning, provenance, confidence, data-classification labels, currency codes, and the Trust Profile. Sign-off first.</w:t>
      </w:r>
    </w:p>
    <w:p>
      <w:pPr>
        <w:pStyle w:val="ListParagraph"/>
        <w:numPr>
          <w:ilvl w:val="0"/>
          <w:numId w:val="4"/>
        </w:numPr>
        <w:spacing w:after="60"/>
      </w:pPr>
      <w:r>
        <w:t xml:space="preserve">Stand up the foundations — security baseline (zero-trust, RBAC, audit logging, encryption, residency NA + GCC; L11/L17), EN/AR localization + multi-currency (L13), document scanner &amp; secure intake (L14), admin control plane (L16) — before any real deal data enters.</w:t>
      </w:r>
    </w:p>
    <w:p>
      <w:pPr>
        <w:pStyle w:val="ListParagraph"/>
        <w:numPr>
          <w:ilvl w:val="0"/>
          <w:numId w:val="4"/>
        </w:numPr>
        <w:spacing w:after="60"/>
      </w:pPr>
      <w:r>
        <w:t xml:space="preserve">Build ingestion + entity resolution; implement the Graph API; wire internal communications (L15).</w:t>
      </w:r>
    </w:p>
    <w:p>
      <w:pPr>
        <w:pStyle w:val="ListParagraph"/>
        <w:numPr>
          <w:ilvl w:val="0"/>
          <w:numId w:val="4"/>
        </w:numPr>
        <w:spacing w:after="60"/>
      </w:pPr>
      <w:r>
        <w:t xml:space="preserve">Build the reputation-graph scaffolding (L1) so trust accrues from day one.</w:t>
      </w:r>
    </w:p>
    <w:p>
      <w:pPr>
        <w:pStyle w:val="ListParagraph"/>
        <w:numPr>
          <w:ilvl w:val="0"/>
          <w:numId w:val="4"/>
        </w:numPr>
        <w:spacing w:after="60"/>
      </w:pPr>
      <w:r>
        <w:t xml:space="preserve">Build Engine #2 + Strategic Paths v1; ship the Strategic Path Dashboard.</w:t>
      </w:r>
    </w:p>
    <w:p>
      <w:pPr>
        <w:pStyle w:val="ListParagraph"/>
        <w:numPr>
          <w:ilvl w:val="0"/>
          <w:numId w:val="4"/>
        </w:numPr>
        <w:spacing w:after="60"/>
      </w:pPr>
      <w:r>
        <w:t xml:space="preserve">Add the matching layer + acquirer network (#8, L5) — ranked, match-scored counterparty lists.</w:t>
      </w:r>
    </w:p>
    <w:p>
      <w:pPr>
        <w:pStyle w:val="ListParagraph"/>
        <w:numPr>
          <w:ilvl w:val="0"/>
          <w:numId w:val="4"/>
        </w:numPr>
        <w:spacing w:after="60"/>
      </w:pPr>
      <w:r>
        <w:t xml:space="preserve">Implement staged disclosure (L2) — three-tier model, redaction, watermarking, audit trail.</w:t>
      </w:r>
    </w:p>
    <w:p>
      <w:pPr>
        <w:pStyle w:val="ListParagraph"/>
        <w:numPr>
          <w:ilvl w:val="0"/>
          <w:numId w:val="4"/>
        </w:numPr>
        <w:spacing w:after="60"/>
      </w:pPr>
      <w:r>
        <w:t xml:space="preserve">Build the Deal Room OS (L3) — DD tracker, tasks, Q&amp;A, document intelligence.</w:t>
      </w:r>
    </w:p>
    <w:p>
      <w:pPr>
        <w:pStyle w:val="ListParagraph"/>
        <w:numPr>
          <w:ilvl w:val="0"/>
          <w:numId w:val="4"/>
        </w:numPr>
        <w:spacing w:after="60"/>
      </w:pPr>
      <w:r>
        <w:t xml:space="preserve">Layer in readiness engines (#5, #6) and signature engines (#3, #4, #7).</w:t>
      </w:r>
    </w:p>
    <w:p>
      <w:pPr>
        <w:pStyle w:val="ListParagraph"/>
        <w:numPr>
          <w:ilvl w:val="0"/>
          <w:numId w:val="4"/>
        </w:numPr>
        <w:spacing w:after="60"/>
      </w:pPr>
      <w:r>
        <w:t xml:space="preserve">Add negotiation intelligence (L4), the acquisition-financing marketplace (L6), and advisor orchestration (L10).</w:t>
      </w:r>
    </w:p>
    <w:p>
      <w:pPr>
        <w:pStyle w:val="ListParagraph"/>
        <w:numPr>
          <w:ilvl w:val="0"/>
          <w:numId w:val="4"/>
        </w:numPr>
        <w:spacing w:after="60"/>
      </w:pPr>
      <w:r>
        <w:t xml:space="preserve">Build the moat engines (#10, #11) and market intelligence (L9).</w:t>
      </w:r>
    </w:p>
    <w:p>
      <w:pPr>
        <w:pStyle w:val="ListParagraph"/>
        <w:numPr>
          <w:ilvl w:val="0"/>
          <w:numId w:val="4"/>
        </w:numPr>
        <w:spacing w:after="60"/>
      </w:pPr>
      <w:r>
        <w:t xml:space="preserve">Add post-close integration (L8) and compliance automation (L7).</w:t>
      </w:r>
    </w:p>
    <w:p>
      <w:pPr>
        <w:pStyle w:val="ListParagraph"/>
        <w:numPr>
          <w:ilvl w:val="0"/>
          <w:numId w:val="4"/>
        </w:numPr>
        <w:spacing w:after="60"/>
      </w:pPr>
      <w:r>
        <w:t xml:space="preserve">Instrument the outcome flywheel (L12) — verify every engine and marketplace action writes back to the graph.</w:t>
      </w:r>
    </w:p>
    <w:p>
      <w:pPr>
        <w:pStyle w:val="ListParagraph"/>
        <w:numPr>
          <w:ilvl w:val="0"/>
          <w:numId w:val="4"/>
        </w:numPr>
        <w:spacing w:after="60"/>
      </w:pPr>
      <w:r>
        <w:t xml:space="preserve">Lifecycle integration — connect to adjacent modules (out-of-scope raise/IPO modules excluded).</w:t>
      </w:r>
    </w:p>
    <w:p>
      <w:pPr>
        <w:spacing w:after="120" w:line="276"/>
      </w:pPr>
      <w:r>
        <w:rPr>
          <w:b/>
          <w:bCs/>
        </w:rPr>
        <w:t xml:space="preserve">For every step, the agent should produce:</w:t>
      </w:r>
      <w:r>
        <w:t xml:space="preserve"> the artifact, a short design note on trade-offs, acceptance criteria, and an explicit statement of what data the component deposits back into the graph.</w:t>
      </w:r>
    </w:p>
    <w:p>
      <w:pPr>
        <w:pStyle w:val="Heading1"/>
      </w:pPr>
      <w:r>
        <w:t xml:space="preserve">11. Guardrails &amp; principles</w:t>
      </w:r>
    </w:p>
    <w:p>
      <w:pPr>
        <w:pStyle w:val="ListParagraph"/>
        <w:numPr>
          <w:ilvl w:val="0"/>
          <w:numId w:val="2"/>
        </w:numPr>
        <w:spacing w:after="60"/>
      </w:pPr>
      <w:r>
        <w:rPr>
          <w:b/>
          <w:bCs/>
        </w:rPr>
        <w:t xml:space="preserve">Evidence or it doesn't ship.</w:t>
      </w:r>
      <w:r>
        <w:t xml:space="preserve"> No score without a “why” and a confidence band.</w:t>
      </w:r>
    </w:p>
    <w:p>
      <w:pPr>
        <w:pStyle w:val="ListParagraph"/>
        <w:numPr>
          <w:ilvl w:val="0"/>
          <w:numId w:val="2"/>
        </w:numPr>
        <w:spacing w:after="60"/>
      </w:pPr>
      <w:r>
        <w:rPr>
          <w:b/>
          <w:bCs/>
        </w:rPr>
        <w:t xml:space="preserve">Stay in scope.</w:t>
      </w:r>
      <w:r>
        <w:t xml:space="preserve"> Build transaction capabilities only — no capital-raising or IPO/public-markets features.</w:t>
      </w:r>
    </w:p>
    <w:p>
      <w:pPr>
        <w:pStyle w:val="ListParagraph"/>
        <w:numPr>
          <w:ilvl w:val="0"/>
          <w:numId w:val="2"/>
        </w:numPr>
        <w:spacing w:after="60"/>
      </w:pPr>
      <w:r>
        <w:rPr>
          <w:b/>
          <w:bCs/>
        </w:rPr>
        <w:t xml:space="preserve">Recommendations, not advice.</w:t>
      </w:r>
      <w:r>
        <w:t xml:space="preserve"> Frame outputs as options and probabilities; add disclaimers on any financial/legal output.</w:t>
      </w:r>
    </w:p>
    <w:p>
      <w:pPr>
        <w:pStyle w:val="ListParagraph"/>
        <w:numPr>
          <w:ilvl w:val="0"/>
          <w:numId w:val="2"/>
        </w:numPr>
        <w:spacing w:after="60"/>
      </w:pPr>
      <w:r>
        <w:rPr>
          <w:b/>
          <w:bCs/>
        </w:rPr>
        <w:t xml:space="preserve">Provenance everywhere.</w:t>
      </w:r>
      <w:r>
        <w:t xml:space="preserve"> Every fact links to its source and timestamp; every document action is logged.</w:t>
      </w:r>
    </w:p>
    <w:p>
      <w:pPr>
        <w:pStyle w:val="ListParagraph"/>
        <w:numPr>
          <w:ilvl w:val="0"/>
          <w:numId w:val="2"/>
        </w:numPr>
        <w:spacing w:after="60"/>
      </w:pPr>
      <w:r>
        <w:rPr>
          <w:b/>
          <w:bCs/>
        </w:rPr>
        <w:t xml:space="preserve">Trust is earned and explainable.</w:t>
      </w:r>
      <w:r>
        <w:t xml:space="preserve"> Reputation scores must be auditable and contestable, never a black box.</w:t>
      </w:r>
    </w:p>
    <w:p>
      <w:pPr>
        <w:pStyle w:val="ListParagraph"/>
        <w:numPr>
          <w:ilvl w:val="0"/>
          <w:numId w:val="2"/>
        </w:numPr>
        <w:spacing w:after="60"/>
      </w:pPr>
      <w:r>
        <w:rPr>
          <w:b/>
          <w:bCs/>
        </w:rPr>
        <w:t xml:space="preserve">Privacy, confidentiality &amp; enterprise security from day one.</w:t>
      </w:r>
      <w:r>
        <w:t xml:space="preserve"> Staged disclosure, tenant isolation, zero-trust access, data-classification enforcement, in-region residency (NA + GCC), and SOC 2 / ISO / PDPL alignment are foundational, not Phase-5 add-ons.</w:t>
      </w:r>
    </w:p>
    <w:p>
      <w:pPr>
        <w:pStyle w:val="ListParagraph"/>
        <w:numPr>
          <w:ilvl w:val="0"/>
          <w:numId w:val="2"/>
        </w:numPr>
        <w:spacing w:after="60"/>
      </w:pPr>
      <w:r>
        <w:rPr>
          <w:b/>
          <w:bCs/>
        </w:rPr>
        <w:t xml:space="preserve">Bilingual &amp; multi-currency by default.</w:t>
      </w:r>
      <w:r>
        <w:t xml:space="preserve"> Every screen, document, and notification ships in EN and AR with full RTL; every monetary value carries its currency (USD/CAD/AED/SAR) and converts non-destructively. Never hard-code copy, symbols, or layouts.</w:t>
      </w:r>
    </w:p>
    <w:p>
      <w:pPr>
        <w:pStyle w:val="ListParagraph"/>
        <w:numPr>
          <w:ilvl w:val="0"/>
          <w:numId w:val="2"/>
        </w:numPr>
        <w:spacing w:after="60"/>
      </w:pPr>
      <w:r>
        <w:rPr>
          <w:b/>
          <w:bCs/>
        </w:rPr>
        <w:t xml:space="preserve">Scan before store.</w:t>
      </w:r>
      <w:r>
        <w:t xml:space="preserve"> No file is stored or shared until it passes the document scanner (malware, OCR, PII detection, metadata stripping).</w:t>
      </w:r>
    </w:p>
    <w:p>
      <w:pPr>
        <w:pStyle w:val="ListParagraph"/>
        <w:numPr>
          <w:ilvl w:val="0"/>
          <w:numId w:val="2"/>
        </w:numPr>
        <w:spacing w:after="60"/>
      </w:pPr>
      <w:r>
        <w:rPr>
          <w:b/>
          <w:bCs/>
        </w:rPr>
        <w:t xml:space="preserve">Compounding by design.</w:t>
      </w:r>
      <w:r>
        <w:t xml:space="preserve"> If a feature doesn't make the graph richer, reconsider it.</w:t>
      </w:r>
    </w:p>
    <w:p>
      <w:pPr>
        <w:pStyle w:val="Heading1"/>
      </w:pPr>
      <w:r>
        <w:t xml:space="preserve">12. Open questions to resolve before/early in the build</w:t>
      </w:r>
    </w:p>
    <w:p>
      <w:pPr>
        <w:pStyle w:val="ListParagraph"/>
        <w:numPr>
          <w:ilvl w:val="0"/>
          <w:numId w:val="5"/>
        </w:numPr>
        <w:spacing w:after="60"/>
      </w:pPr>
      <w:r>
        <w:t xml:space="preserve">Primary user &amp; wedge — founders/sellers, buyers/acquirers, advisors/bankers, PE firms, or family offices? Shapes the first decision surface.</w:t>
      </w:r>
    </w:p>
    <w:p>
      <w:pPr>
        <w:pStyle w:val="ListParagraph"/>
        <w:numPr>
          <w:ilvl w:val="0"/>
          <w:numId w:val="5"/>
        </w:numPr>
        <w:spacing w:after="60"/>
      </w:pPr>
      <w:r>
        <w:t xml:space="preserve">Geography &amp; jurisdiction — launch spans North America and the GCC (Arabic + AED/SAR). Which jurisdictions first for filings, residency, and compliance — and do we need DIFC/ADGM and Saudi entities for in-region hosting?</w:t>
      </w:r>
    </w:p>
    <w:p>
      <w:pPr>
        <w:pStyle w:val="ListParagraph"/>
        <w:numPr>
          <w:ilvl w:val="0"/>
          <w:numId w:val="5"/>
        </w:numPr>
        <w:spacing w:after="60"/>
      </w:pPr>
      <w:r>
        <w:t xml:space="preserve">Localization depth &amp; Sharia option — beyond EN/AR UI, do we need Arabic-language legal documents and Sharia-compliant acquisition-financing instruments at launch, and where?</w:t>
      </w:r>
    </w:p>
    <w:p>
      <w:pPr>
        <w:pStyle w:val="ListParagraph"/>
        <w:numPr>
          <w:ilvl w:val="0"/>
          <w:numId w:val="5"/>
        </w:numPr>
        <w:spacing w:after="60"/>
      </w:pPr>
      <w:r>
        <w:t xml:space="preserve">Data sources &amp; partnerships — which enrichment, filings, market-data, and acquisition-lender networks do we license vs build?</w:t>
      </w:r>
    </w:p>
    <w:p>
      <w:pPr>
        <w:pStyle w:val="ListParagraph"/>
        <w:numPr>
          <w:ilvl w:val="0"/>
          <w:numId w:val="5"/>
        </w:numPr>
        <w:spacing w:after="60"/>
      </w:pPr>
      <w:r>
        <w:t xml:space="preserve">Build vs leverage — reuse existing cap-table tooling and document templates for readiness and document layers?</w:t>
      </w:r>
    </w:p>
    <w:p>
      <w:pPr>
        <w:pStyle w:val="ListParagraph"/>
        <w:numPr>
          <w:ilvl w:val="0"/>
          <w:numId w:val="5"/>
        </w:numPr>
        <w:spacing w:after="60"/>
      </w:pPr>
      <w:r>
        <w:t xml:space="preserve">Cold-start strategy — how do we seed the Outcome Engine and reputation graph before proprietary data exists?</w:t>
      </w:r>
    </w:p>
    <w:p>
      <w:pPr>
        <w:pStyle w:val="ListParagraph"/>
        <w:numPr>
          <w:ilvl w:val="0"/>
          <w:numId w:val="5"/>
        </w:numPr>
        <w:spacing w:after="60"/>
      </w:pPr>
      <w:r>
        <w:t xml:space="preserve">Trust bootstrap — initial trust-scoring model before deal history (verified credentials, third-party signals)?</w:t>
      </w:r>
    </w:p>
    <w:p>
      <w:pPr>
        <w:pStyle w:val="ListParagraph"/>
        <w:numPr>
          <w:ilvl w:val="0"/>
          <w:numId w:val="5"/>
        </w:numPr>
        <w:spacing w:after="60"/>
      </w:pPr>
      <w:r>
        <w:t xml:space="preserve">Pricing &amp; access model — subscription, success fees on transactions/acquisition-financing, advisor take-rate, or hybrid?</w:t>
      </w:r>
    </w:p>
    <w:p>
      <w:pPr>
        <w:pStyle w:val="ListParagraph"/>
        <w:numPr>
          <w:ilvl w:val="0"/>
          <w:numId w:val="5"/>
        </w:numPr>
        <w:spacing w:after="60"/>
      </w:pPr>
      <w:r>
        <w:t xml:space="preserve">Definition of “shareholder value” — whose value, over what horizon, with what risk tolerance? The Digital Twin needs this per company.</w:t>
      </w:r>
    </w:p>
    <w:p>
      <w:pPr>
        <w:pStyle w:val="Heading1"/>
      </w:pPr>
      <w:r>
        <w:t xml:space="preserve">Appendix A — Engine-to-path coverage map</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4560"/>
        <w:gridCol w:w="4800"/>
      </w:tblGrid>
      <w:tr>
        <w:trPr>
          <w:tblHeader/>
        </w:trPr>
        <w:tc>
          <w:tcPr>
            <w:tcW w:type="dxa" w:w="4560"/>
            <w:shd w:fill="1F3864" w:val="clear"/>
            <w:tcMar>
              <w:top w:type="dxa" w:w="80"/>
              <w:left w:type="dxa" w:w="120"/>
              <w:bottom w:type="dxa" w:w="80"/>
              <w:right w:type="dxa" w:w="120"/>
            </w:tcMar>
          </w:tcPr>
          <w:p>
            <w:r>
              <w:rPr>
                <w:b/>
                <w:bCs/>
                <w:color w:val="FFFFFF"/>
                <w:sz w:val="20"/>
                <w:szCs w:val="20"/>
              </w:rPr>
              <w:t xml:space="preserve">Strategic path</w:t>
            </w:r>
          </w:p>
        </w:tc>
        <w:tc>
          <w:tcPr>
            <w:tcW w:type="dxa" w:w="4800"/>
            <w:shd w:fill="1F3864" w:val="clear"/>
            <w:tcMar>
              <w:top w:type="dxa" w:w="80"/>
              <w:left w:type="dxa" w:w="120"/>
              <w:bottom w:type="dxa" w:w="80"/>
              <w:right w:type="dxa" w:w="120"/>
            </w:tcMar>
          </w:tcPr>
          <w:p>
            <w:r>
              <w:rPr>
                <w:b/>
                <w:bCs/>
                <w:color w:val="FFFFFF"/>
                <w:sz w:val="20"/>
                <w:szCs w:val="20"/>
              </w:rPr>
              <w:t xml:space="preserve">Primary engines</w:t>
            </w:r>
          </w:p>
        </w:tc>
      </w:tr>
      <w:tr>
        <w:tc>
          <w:tcPr>
            <w:tcW w:type="dxa" w:w="4560"/>
            <w:shd w:fill="FFFFFF" w:val="clear"/>
            <w:tcMar>
              <w:top w:type="dxa" w:w="70"/>
              <w:left w:type="dxa" w:w="120"/>
              <w:bottom w:type="dxa" w:w="70"/>
              <w:right w:type="dxa" w:w="120"/>
            </w:tcMar>
          </w:tcPr>
          <w:p>
            <w:r>
              <w:t xml:space="preserve">Grow Independently</w:t>
            </w:r>
          </w:p>
        </w:tc>
        <w:tc>
          <w:tcPr>
            <w:tcW w:type="dxa" w:w="4800"/>
            <w:shd w:fill="FFFFFF" w:val="clear"/>
            <w:tcMar>
              <w:top w:type="dxa" w:w="70"/>
              <w:left w:type="dxa" w:w="120"/>
              <w:bottom w:type="dxa" w:w="70"/>
              <w:right w:type="dxa" w:w="120"/>
            </w:tcMar>
          </w:tcPr>
          <w:p>
            <w:r>
              <w:t xml:space="preserve">#2 Opportunity, #11 Outcome</w:t>
            </w:r>
          </w:p>
        </w:tc>
      </w:tr>
      <w:tr>
        <w:tc>
          <w:tcPr>
            <w:tcW w:type="dxa" w:w="4560"/>
            <w:shd w:fill="EEF3F8" w:val="clear"/>
            <w:tcMar>
              <w:top w:type="dxa" w:w="70"/>
              <w:left w:type="dxa" w:w="120"/>
              <w:bottom w:type="dxa" w:w="70"/>
              <w:right w:type="dxa" w:w="120"/>
            </w:tcMar>
          </w:tcPr>
          <w:p>
            <w:r>
              <w:t xml:space="preserve">Strategic Merger</w:t>
            </w:r>
          </w:p>
        </w:tc>
        <w:tc>
          <w:tcPr>
            <w:tcW w:type="dxa" w:w="4800"/>
            <w:shd w:fill="EEF3F8" w:val="clear"/>
            <w:tcMar>
              <w:top w:type="dxa" w:w="70"/>
              <w:left w:type="dxa" w:w="120"/>
              <w:bottom w:type="dxa" w:w="70"/>
              <w:right w:type="dxa" w:w="120"/>
            </w:tcMar>
          </w:tcPr>
          <w:p>
            <w:r>
              <w:t xml:space="preserve">#2, #6 Buy-Side, #11</w:t>
            </w:r>
          </w:p>
        </w:tc>
      </w:tr>
      <w:tr>
        <w:tc>
          <w:tcPr>
            <w:tcW w:type="dxa" w:w="4560"/>
            <w:shd w:fill="FFFFFF" w:val="clear"/>
            <w:tcMar>
              <w:top w:type="dxa" w:w="70"/>
              <w:left w:type="dxa" w:w="120"/>
              <w:bottom w:type="dxa" w:w="70"/>
              <w:right w:type="dxa" w:w="120"/>
            </w:tcMar>
          </w:tcPr>
          <w:p>
            <w:r>
              <w:t xml:space="preserve">Full Sale / Acquisition Target</w:t>
            </w:r>
          </w:p>
        </w:tc>
        <w:tc>
          <w:tcPr>
            <w:tcW w:type="dxa" w:w="4800"/>
            <w:shd w:fill="FFFFFF" w:val="clear"/>
            <w:tcMar>
              <w:top w:type="dxa" w:w="70"/>
              <w:left w:type="dxa" w:w="120"/>
              <w:bottom w:type="dxa" w:w="70"/>
              <w:right w:type="dxa" w:w="120"/>
            </w:tcMar>
          </w:tcPr>
          <w:p>
            <w:r>
              <w:t xml:space="preserve">#5 Sell-Side, #8 Acquirer Network, #11</w:t>
            </w:r>
          </w:p>
        </w:tc>
      </w:tr>
      <w:tr>
        <w:tc>
          <w:tcPr>
            <w:tcW w:type="dxa" w:w="4560"/>
            <w:shd w:fill="EEF3F8" w:val="clear"/>
            <w:tcMar>
              <w:top w:type="dxa" w:w="70"/>
              <w:left w:type="dxa" w:w="120"/>
              <w:bottom w:type="dxa" w:w="70"/>
              <w:right w:type="dxa" w:w="120"/>
            </w:tcMar>
          </w:tcPr>
          <w:p>
            <w:r>
              <w:t xml:space="preserve">Carve-Out / Divestiture / Spin-Out</w:t>
            </w:r>
          </w:p>
        </w:tc>
        <w:tc>
          <w:tcPr>
            <w:tcW w:type="dxa" w:w="4800"/>
            <w:shd w:fill="EEF3F8" w:val="clear"/>
            <w:tcMar>
              <w:top w:type="dxa" w:w="70"/>
              <w:left w:type="dxa" w:w="120"/>
              <w:bottom w:type="dxa" w:w="70"/>
              <w:right w:type="dxa" w:w="120"/>
            </w:tcMar>
          </w:tcPr>
          <w:p>
            <w:r>
              <w:t xml:space="preserve">#5, #2</w:t>
            </w:r>
          </w:p>
        </w:tc>
      </w:tr>
      <w:tr>
        <w:tc>
          <w:tcPr>
            <w:tcW w:type="dxa" w:w="4560"/>
            <w:shd w:fill="FFFFFF" w:val="clear"/>
            <w:tcMar>
              <w:top w:type="dxa" w:w="70"/>
              <w:left w:type="dxa" w:w="120"/>
              <w:bottom w:type="dxa" w:w="70"/>
              <w:right w:type="dxa" w:w="120"/>
            </w:tcMar>
          </w:tcPr>
          <w:p>
            <w:r>
              <w:t xml:space="preserve">Secondary / Shareholder Liquidity</w:t>
            </w:r>
          </w:p>
        </w:tc>
        <w:tc>
          <w:tcPr>
            <w:tcW w:type="dxa" w:w="4800"/>
            <w:shd w:fill="FFFFFF" w:val="clear"/>
            <w:tcMar>
              <w:top w:type="dxa" w:w="70"/>
              <w:left w:type="dxa" w:w="120"/>
              <w:bottom w:type="dxa" w:w="70"/>
              <w:right w:type="dxa" w:w="120"/>
            </w:tcMar>
          </w:tcPr>
          <w:p>
            <w:r>
              <w:t xml:space="preserve">#8, #5</w:t>
            </w:r>
          </w:p>
        </w:tc>
      </w:tr>
      <w:tr>
        <w:tc>
          <w:tcPr>
            <w:tcW w:type="dxa" w:w="4560"/>
            <w:shd w:fill="EEF3F8" w:val="clear"/>
            <w:tcMar>
              <w:top w:type="dxa" w:w="70"/>
              <w:left w:type="dxa" w:w="120"/>
              <w:bottom w:type="dxa" w:w="70"/>
              <w:right w:type="dxa" w:w="120"/>
            </w:tcMar>
          </w:tcPr>
          <w:p>
            <w:r>
              <w:t xml:space="preserve">Roll-Up Platform</w:t>
            </w:r>
          </w:p>
        </w:tc>
        <w:tc>
          <w:tcPr>
            <w:tcW w:type="dxa" w:w="4800"/>
            <w:shd w:fill="EEF3F8" w:val="clear"/>
            <w:tcMar>
              <w:top w:type="dxa" w:w="70"/>
              <w:left w:type="dxa" w:w="120"/>
              <w:bottom w:type="dxa" w:w="70"/>
              <w:right w:type="dxa" w:w="120"/>
            </w:tcMar>
          </w:tcPr>
          <w:p>
            <w:r>
              <w:t xml:space="preserve">#4 Roll-Up, #6, #7 Timing</w:t>
            </w:r>
          </w:p>
        </w:tc>
      </w:tr>
      <w:tr>
        <w:tc>
          <w:tcPr>
            <w:tcW w:type="dxa" w:w="4560"/>
            <w:shd w:fill="FFFFFF" w:val="clear"/>
            <w:tcMar>
              <w:top w:type="dxa" w:w="70"/>
              <w:left w:type="dxa" w:w="120"/>
              <w:bottom w:type="dxa" w:w="70"/>
              <w:right w:type="dxa" w:w="120"/>
            </w:tcMar>
          </w:tcPr>
          <w:p>
            <w:r>
              <w:t xml:space="preserve">Strategic Partnership / JV</w:t>
            </w:r>
          </w:p>
        </w:tc>
        <w:tc>
          <w:tcPr>
            <w:tcW w:type="dxa" w:w="4800"/>
            <w:shd w:fill="FFFFFF" w:val="clear"/>
            <w:tcMar>
              <w:top w:type="dxa" w:w="70"/>
              <w:left w:type="dxa" w:w="120"/>
              <w:bottom w:type="dxa" w:w="70"/>
              <w:right w:type="dxa" w:w="120"/>
            </w:tcMar>
          </w:tcPr>
          <w:p>
            <w:r>
              <w:t xml:space="preserve">#9 Relationship, #6</w:t>
            </w:r>
          </w:p>
        </w:tc>
      </w:tr>
      <w:tr>
        <w:tc>
          <w:tcPr>
            <w:tcW w:type="dxa" w:w="4560"/>
            <w:shd w:fill="EEF3F8" w:val="clear"/>
            <w:tcMar>
              <w:top w:type="dxa" w:w="70"/>
              <w:left w:type="dxa" w:w="120"/>
              <w:bottom w:type="dxa" w:w="70"/>
              <w:right w:type="dxa" w:w="120"/>
            </w:tcMar>
          </w:tcPr>
          <w:p>
            <w:r>
              <w:t xml:space="preserve">Licensing / Franchise</w:t>
            </w:r>
          </w:p>
        </w:tc>
        <w:tc>
          <w:tcPr>
            <w:tcW w:type="dxa" w:w="4800"/>
            <w:shd w:fill="EEF3F8" w:val="clear"/>
            <w:tcMar>
              <w:top w:type="dxa" w:w="70"/>
              <w:left w:type="dxa" w:w="120"/>
              <w:bottom w:type="dxa" w:w="70"/>
              <w:right w:type="dxa" w:w="120"/>
            </w:tcMar>
          </w:tcPr>
          <w:p>
            <w:r>
              <w:t xml:space="preserve">#2, #9</w:t>
            </w:r>
          </w:p>
        </w:tc>
      </w:tr>
      <w:tr>
        <w:tc>
          <w:tcPr>
            <w:tcW w:type="dxa" w:w="4560"/>
            <w:shd w:fill="FFFFFF" w:val="clear"/>
            <w:tcMar>
              <w:top w:type="dxa" w:w="70"/>
              <w:left w:type="dxa" w:w="120"/>
              <w:bottom w:type="dxa" w:w="70"/>
              <w:right w:type="dxa" w:w="120"/>
            </w:tcMar>
          </w:tcPr>
          <w:p>
            <w:r>
              <w:t xml:space="preserve">Geographic Expansion</w:t>
            </w:r>
          </w:p>
        </w:tc>
        <w:tc>
          <w:tcPr>
            <w:tcW w:type="dxa" w:w="4800"/>
            <w:shd w:fill="FFFFFF" w:val="clear"/>
            <w:tcMar>
              <w:top w:type="dxa" w:w="70"/>
              <w:left w:type="dxa" w:w="120"/>
              <w:bottom w:type="dxa" w:w="70"/>
              <w:right w:type="dxa" w:w="120"/>
            </w:tcMar>
          </w:tcPr>
          <w:p>
            <w:r>
              <w:t xml:space="preserve">#2, #9, #11</w:t>
            </w:r>
          </w:p>
        </w:tc>
      </w:tr>
      <w:tr>
        <w:tc>
          <w:tcPr>
            <w:tcW w:type="dxa" w:w="4560"/>
            <w:shd w:fill="EEF3F8" w:val="clear"/>
            <w:tcMar>
              <w:top w:type="dxa" w:w="70"/>
              <w:left w:type="dxa" w:w="120"/>
              <w:bottom w:type="dxa" w:w="70"/>
              <w:right w:type="dxa" w:w="120"/>
            </w:tcMar>
          </w:tcPr>
          <w:p>
            <w:r>
              <w:t xml:space="preserve">Restructuring &amp; Recovery</w:t>
            </w:r>
          </w:p>
        </w:tc>
        <w:tc>
          <w:tcPr>
            <w:tcW w:type="dxa" w:w="4800"/>
            <w:shd w:fill="EEF3F8" w:val="clear"/>
            <w:tcMar>
              <w:top w:type="dxa" w:w="70"/>
              <w:left w:type="dxa" w:w="120"/>
              <w:bottom w:type="dxa" w:w="70"/>
              <w:right w:type="dxa" w:w="120"/>
            </w:tcMar>
          </w:tcPr>
          <w:p>
            <w:r>
              <w:t xml:space="preserve">#3 Distress, #7 Timing</w:t>
            </w:r>
          </w:p>
        </w:tc>
      </w:tr>
      <w:tr>
        <w:tc>
          <w:tcPr>
            <w:tcW w:type="dxa" w:w="4560"/>
            <w:shd w:fill="FFFFFF" w:val="clear"/>
            <w:tcMar>
              <w:top w:type="dxa" w:w="70"/>
              <w:left w:type="dxa" w:w="120"/>
              <w:bottom w:type="dxa" w:w="70"/>
              <w:right w:type="dxa" w:w="120"/>
            </w:tcMar>
          </w:tcPr>
          <w:p>
            <w:r>
              <w:t xml:space="preserve">Wind Down &amp; Asset Preservation</w:t>
            </w:r>
          </w:p>
        </w:tc>
        <w:tc>
          <w:tcPr>
            <w:tcW w:type="dxa" w:w="4800"/>
            <w:shd w:fill="FFFFFF" w:val="clear"/>
            <w:tcMar>
              <w:top w:type="dxa" w:w="70"/>
              <w:left w:type="dxa" w:w="120"/>
              <w:bottom w:type="dxa" w:w="70"/>
              <w:right w:type="dxa" w:w="120"/>
            </w:tcMar>
          </w:tcPr>
          <w:p>
            <w:r>
              <w:t xml:space="preserve">#3, #5</w:t>
            </w:r>
          </w:p>
        </w:tc>
      </w:tr>
    </w:tbl>
    <w:p>
      <w:pPr>
        <w:spacing w:after="120" w:line="276"/>
      </w:pPr>
      <w:r>
        <w:t xml:space="preserve">All paths draw on Engine #10 (Digital Twin) for personalization and Engine #11 (Outcome) for comparable-company evidence.</w:t>
      </w:r>
    </w:p>
    <w:p>
      <w:pPr>
        <w:pStyle w:val="Heading1"/>
      </w:pPr>
      <w:r>
        <w:t xml:space="preserve">Appendix B — Delta layer → priority → build phase</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700"/>
        <w:gridCol w:w="4360"/>
        <w:gridCol w:w="1700"/>
        <w:gridCol w:w="1300"/>
        <w:gridCol w:w="1300"/>
      </w:tblGrid>
      <w:tr>
        <w:trPr>
          <w:tblHeader/>
        </w:trPr>
        <w:tc>
          <w:tcPr>
            <w:tcW w:type="dxa" w:w="700"/>
            <w:shd w:fill="1F3864" w:val="clear"/>
            <w:tcMar>
              <w:top w:type="dxa" w:w="80"/>
              <w:left w:type="dxa" w:w="120"/>
              <w:bottom w:type="dxa" w:w="80"/>
              <w:right w:type="dxa" w:w="120"/>
            </w:tcMar>
          </w:tcPr>
          <w:p>
            <w:r>
              <w:rPr>
                <w:b/>
                <w:bCs/>
                <w:color w:val="FFFFFF"/>
                <w:sz w:val="20"/>
                <w:szCs w:val="20"/>
              </w:rPr>
              <w:t xml:space="preserve">#</w:t>
            </w:r>
          </w:p>
        </w:tc>
        <w:tc>
          <w:tcPr>
            <w:tcW w:type="dxa" w:w="4360"/>
            <w:shd w:fill="1F3864" w:val="clear"/>
            <w:tcMar>
              <w:top w:type="dxa" w:w="80"/>
              <w:left w:type="dxa" w:w="120"/>
              <w:bottom w:type="dxa" w:w="80"/>
              <w:right w:type="dxa" w:w="120"/>
            </w:tcMar>
          </w:tcPr>
          <w:p>
            <w:r>
              <w:rPr>
                <w:b/>
                <w:bCs/>
                <w:color w:val="FFFFFF"/>
                <w:sz w:val="20"/>
                <w:szCs w:val="20"/>
              </w:rPr>
              <w:t xml:space="preserve">Delta layer</w:t>
            </w:r>
          </w:p>
        </w:tc>
        <w:tc>
          <w:tcPr>
            <w:tcW w:type="dxa" w:w="1700"/>
            <w:shd w:fill="1F3864" w:val="clear"/>
            <w:tcMar>
              <w:top w:type="dxa" w:w="80"/>
              <w:left w:type="dxa" w:w="120"/>
              <w:bottom w:type="dxa" w:w="80"/>
              <w:right w:type="dxa" w:w="120"/>
            </w:tcMar>
          </w:tcPr>
          <w:p>
            <w:r>
              <w:rPr>
                <w:b/>
                <w:bCs/>
                <w:color w:val="FFFFFF"/>
                <w:sz w:val="20"/>
                <w:szCs w:val="20"/>
              </w:rPr>
              <w:t xml:space="preserve">Priority tier</w:t>
            </w:r>
          </w:p>
        </w:tc>
        <w:tc>
          <w:tcPr>
            <w:tcW w:type="dxa" w:w="1300"/>
            <w:shd w:fill="1F3864" w:val="clear"/>
            <w:tcMar>
              <w:top w:type="dxa" w:w="80"/>
              <w:left w:type="dxa" w:w="120"/>
              <w:bottom w:type="dxa" w:w="80"/>
              <w:right w:type="dxa" w:w="120"/>
            </w:tcMar>
          </w:tcPr>
          <w:p>
            <w:r>
              <w:rPr>
                <w:b/>
                <w:bCs/>
                <w:color w:val="FFFFFF"/>
                <w:sz w:val="20"/>
                <w:szCs w:val="20"/>
              </w:rPr>
              <w:t xml:space="preserve">Arch</w:t>
            </w:r>
          </w:p>
        </w:tc>
        <w:tc>
          <w:tcPr>
            <w:tcW w:type="dxa" w:w="1300"/>
            <w:shd w:fill="1F3864" w:val="clear"/>
            <w:tcMar>
              <w:top w:type="dxa" w:w="80"/>
              <w:left w:type="dxa" w:w="120"/>
              <w:bottom w:type="dxa" w:w="80"/>
              <w:right w:type="dxa" w:w="120"/>
            </w:tcMar>
          </w:tcPr>
          <w:p>
            <w:r>
              <w:rPr>
                <w:b/>
                <w:bCs/>
                <w:color w:val="FFFFFF"/>
                <w:sz w:val="20"/>
                <w:szCs w:val="20"/>
              </w:rPr>
              <w:t xml:space="preserve">Phase</w:t>
            </w:r>
          </w:p>
        </w:tc>
      </w:tr>
      <w:tr>
        <w:tc>
          <w:tcPr>
            <w:tcW w:type="dxa" w:w="700"/>
            <w:shd w:fill="FFFFFF" w:val="clear"/>
            <w:tcMar>
              <w:top w:type="dxa" w:w="70"/>
              <w:left w:type="dxa" w:w="120"/>
              <w:bottom w:type="dxa" w:w="70"/>
              <w:right w:type="dxa" w:w="120"/>
            </w:tcMar>
          </w:tcPr>
          <w:p>
            <w:r>
              <w:t xml:space="preserve">1</w:t>
            </w:r>
          </w:p>
        </w:tc>
        <w:tc>
          <w:tcPr>
            <w:tcW w:type="dxa" w:w="4360"/>
            <w:shd w:fill="FFFFFF" w:val="clear"/>
            <w:tcMar>
              <w:top w:type="dxa" w:w="70"/>
              <w:left w:type="dxa" w:w="120"/>
              <w:bottom w:type="dxa" w:w="70"/>
              <w:right w:type="dxa" w:w="120"/>
            </w:tcMar>
          </w:tcPr>
          <w:p>
            <w:r>
              <w:t xml:space="preserve">Reputation &amp; trust graph</w:t>
            </w:r>
          </w:p>
        </w:tc>
        <w:tc>
          <w:tcPr>
            <w:tcW w:type="dxa" w:w="1700"/>
            <w:shd w:fill="FFFFFF" w:val="clear"/>
            <w:tcMar>
              <w:top w:type="dxa" w:w="70"/>
              <w:left w:type="dxa" w:w="120"/>
              <w:bottom w:type="dxa" w:w="70"/>
              <w:right w:type="dxa" w:w="120"/>
            </w:tcMar>
          </w:tcPr>
          <w:p>
            <w:r>
              <w:t xml:space="preserve">Highest / moat</w:t>
            </w:r>
          </w:p>
        </w:tc>
        <w:tc>
          <w:tcPr>
            <w:tcW w:type="dxa" w:w="1300"/>
            <w:shd w:fill="FFFFFF" w:val="clear"/>
            <w:tcMar>
              <w:top w:type="dxa" w:w="70"/>
              <w:left w:type="dxa" w:w="120"/>
              <w:bottom w:type="dxa" w:w="70"/>
              <w:right w:type="dxa" w:w="120"/>
            </w:tcMar>
          </w:tcPr>
          <w:p>
            <w:r>
              <w:t xml:space="preserve">L2</w:t>
            </w:r>
          </w:p>
        </w:tc>
        <w:tc>
          <w:tcPr>
            <w:tcW w:type="dxa" w:w="1300"/>
            <w:shd w:fill="FFFFFF" w:val="clear"/>
            <w:tcMar>
              <w:top w:type="dxa" w:w="70"/>
              <w:left w:type="dxa" w:w="120"/>
              <w:bottom w:type="dxa" w:w="70"/>
              <w:right w:type="dxa" w:w="120"/>
            </w:tcMar>
          </w:tcPr>
          <w:p>
            <w:r>
              <w:t xml:space="preserve">0</w:t>
            </w:r>
          </w:p>
        </w:tc>
      </w:tr>
      <w:tr>
        <w:tc>
          <w:tcPr>
            <w:tcW w:type="dxa" w:w="700"/>
            <w:shd w:fill="EEF3F8" w:val="clear"/>
            <w:tcMar>
              <w:top w:type="dxa" w:w="70"/>
              <w:left w:type="dxa" w:w="120"/>
              <w:bottom w:type="dxa" w:w="70"/>
              <w:right w:type="dxa" w:w="120"/>
            </w:tcMar>
          </w:tcPr>
          <w:p>
            <w:r>
              <w:t xml:space="preserve">2</w:t>
            </w:r>
          </w:p>
        </w:tc>
        <w:tc>
          <w:tcPr>
            <w:tcW w:type="dxa" w:w="4360"/>
            <w:shd w:fill="EEF3F8" w:val="clear"/>
            <w:tcMar>
              <w:top w:type="dxa" w:w="70"/>
              <w:left w:type="dxa" w:w="120"/>
              <w:bottom w:type="dxa" w:w="70"/>
              <w:right w:type="dxa" w:w="120"/>
            </w:tcMar>
          </w:tcPr>
          <w:p>
            <w:r>
              <w:t xml:space="preserve">Smart anonymity &amp; staged disclosure</w:t>
            </w:r>
          </w:p>
        </w:tc>
        <w:tc>
          <w:tcPr>
            <w:tcW w:type="dxa" w:w="1700"/>
            <w:shd w:fill="EEF3F8" w:val="clear"/>
            <w:tcMar>
              <w:top w:type="dxa" w:w="70"/>
              <w:left w:type="dxa" w:w="120"/>
              <w:bottom w:type="dxa" w:w="70"/>
              <w:right w:type="dxa" w:w="120"/>
            </w:tcMar>
          </w:tcPr>
          <w:p>
            <w:r>
              <w:t xml:space="preserve">Highest / moat</w:t>
            </w:r>
          </w:p>
        </w:tc>
        <w:tc>
          <w:tcPr>
            <w:tcW w:type="dxa" w:w="1300"/>
            <w:shd w:fill="EEF3F8" w:val="clear"/>
            <w:tcMar>
              <w:top w:type="dxa" w:w="70"/>
              <w:left w:type="dxa" w:w="120"/>
              <w:bottom w:type="dxa" w:w="70"/>
              <w:right w:type="dxa" w:w="120"/>
            </w:tcMar>
          </w:tcPr>
          <w:p>
            <w:r>
              <w:t xml:space="preserve">L4–L5</w:t>
            </w:r>
          </w:p>
        </w:tc>
        <w:tc>
          <w:tcPr>
            <w:tcW w:type="dxa" w:w="1300"/>
            <w:shd w:fill="EEF3F8" w:val="clear"/>
            <w:tcMar>
              <w:top w:type="dxa" w:w="70"/>
              <w:left w:type="dxa" w:w="120"/>
              <w:bottom w:type="dxa" w:w="70"/>
              <w:right w:type="dxa" w:w="120"/>
            </w:tcMar>
          </w:tcPr>
          <w:p>
            <w:r>
              <w:t xml:space="preserve">2</w:t>
            </w:r>
          </w:p>
        </w:tc>
      </w:tr>
      <w:tr>
        <w:tc>
          <w:tcPr>
            <w:tcW w:type="dxa" w:w="700"/>
            <w:shd w:fill="FFFFFF" w:val="clear"/>
            <w:tcMar>
              <w:top w:type="dxa" w:w="70"/>
              <w:left w:type="dxa" w:w="120"/>
              <w:bottom w:type="dxa" w:w="70"/>
              <w:right w:type="dxa" w:w="120"/>
            </w:tcMar>
          </w:tcPr>
          <w:p>
            <w:r>
              <w:t xml:space="preserve">3</w:t>
            </w:r>
          </w:p>
        </w:tc>
        <w:tc>
          <w:tcPr>
            <w:tcW w:type="dxa" w:w="4360"/>
            <w:shd w:fill="FFFFFF" w:val="clear"/>
            <w:tcMar>
              <w:top w:type="dxa" w:w="70"/>
              <w:left w:type="dxa" w:w="120"/>
              <w:bottom w:type="dxa" w:w="70"/>
              <w:right w:type="dxa" w:w="120"/>
            </w:tcMar>
          </w:tcPr>
          <w:p>
            <w:r>
              <w:t xml:space="preserve">Deal Room OS</w:t>
            </w:r>
          </w:p>
        </w:tc>
        <w:tc>
          <w:tcPr>
            <w:tcW w:type="dxa" w:w="1700"/>
            <w:shd w:fill="FFFFFF" w:val="clear"/>
            <w:tcMar>
              <w:top w:type="dxa" w:w="70"/>
              <w:left w:type="dxa" w:w="120"/>
              <w:bottom w:type="dxa" w:w="70"/>
              <w:right w:type="dxa" w:w="120"/>
            </w:tcMar>
          </w:tcPr>
          <w:p>
            <w:r>
              <w:t xml:space="preserve">Highest / moat</w:t>
            </w:r>
          </w:p>
        </w:tc>
        <w:tc>
          <w:tcPr>
            <w:tcW w:type="dxa" w:w="1300"/>
            <w:shd w:fill="FFFFFF" w:val="clear"/>
            <w:tcMar>
              <w:top w:type="dxa" w:w="70"/>
              <w:left w:type="dxa" w:w="120"/>
              <w:bottom w:type="dxa" w:w="70"/>
              <w:right w:type="dxa" w:w="120"/>
            </w:tcMar>
          </w:tcPr>
          <w:p>
            <w:r>
              <w:t xml:space="preserve">L5</w:t>
            </w:r>
          </w:p>
        </w:tc>
        <w:tc>
          <w:tcPr>
            <w:tcW w:type="dxa" w:w="1300"/>
            <w:shd w:fill="FFFFFF" w:val="clear"/>
            <w:tcMar>
              <w:top w:type="dxa" w:w="70"/>
              <w:left w:type="dxa" w:w="120"/>
              <w:bottom w:type="dxa" w:w="70"/>
              <w:right w:type="dxa" w:w="120"/>
            </w:tcMar>
          </w:tcPr>
          <w:p>
            <w:r>
              <w:t xml:space="preserve">3</w:t>
            </w:r>
          </w:p>
        </w:tc>
      </w:tr>
      <w:tr>
        <w:tc>
          <w:tcPr>
            <w:tcW w:type="dxa" w:w="700"/>
            <w:shd w:fill="EEF3F8" w:val="clear"/>
            <w:tcMar>
              <w:top w:type="dxa" w:w="70"/>
              <w:left w:type="dxa" w:w="120"/>
              <w:bottom w:type="dxa" w:w="70"/>
              <w:right w:type="dxa" w:w="120"/>
            </w:tcMar>
          </w:tcPr>
          <w:p>
            <w:r>
              <w:t xml:space="preserve">4</w:t>
            </w:r>
          </w:p>
        </w:tc>
        <w:tc>
          <w:tcPr>
            <w:tcW w:type="dxa" w:w="4360"/>
            <w:shd w:fill="EEF3F8" w:val="clear"/>
            <w:tcMar>
              <w:top w:type="dxa" w:w="70"/>
              <w:left w:type="dxa" w:w="120"/>
              <w:bottom w:type="dxa" w:w="70"/>
              <w:right w:type="dxa" w:w="120"/>
            </w:tcMar>
          </w:tcPr>
          <w:p>
            <w:r>
              <w:t xml:space="preserve">Negotiation &amp; term-sheet intelligence</w:t>
            </w:r>
          </w:p>
        </w:tc>
        <w:tc>
          <w:tcPr>
            <w:tcW w:type="dxa" w:w="1700"/>
            <w:shd w:fill="EEF3F8" w:val="clear"/>
            <w:tcMar>
              <w:top w:type="dxa" w:w="70"/>
              <w:left w:type="dxa" w:w="120"/>
              <w:bottom w:type="dxa" w:w="70"/>
              <w:right w:type="dxa" w:w="120"/>
            </w:tcMar>
          </w:tcPr>
          <w:p>
            <w:r>
              <w:t xml:space="preserve">Highest / moat</w:t>
            </w:r>
          </w:p>
        </w:tc>
        <w:tc>
          <w:tcPr>
            <w:tcW w:type="dxa" w:w="1300"/>
            <w:shd w:fill="EEF3F8" w:val="clear"/>
            <w:tcMar>
              <w:top w:type="dxa" w:w="70"/>
              <w:left w:type="dxa" w:w="120"/>
              <w:bottom w:type="dxa" w:w="70"/>
              <w:right w:type="dxa" w:w="120"/>
            </w:tcMar>
          </w:tcPr>
          <w:p>
            <w:r>
              <w:t xml:space="preserve">L4</w:t>
            </w:r>
          </w:p>
        </w:tc>
        <w:tc>
          <w:tcPr>
            <w:tcW w:type="dxa" w:w="1300"/>
            <w:shd w:fill="EEF3F8" w:val="clear"/>
            <w:tcMar>
              <w:top w:type="dxa" w:w="70"/>
              <w:left w:type="dxa" w:w="120"/>
              <w:bottom w:type="dxa" w:w="70"/>
              <w:right w:type="dxa" w:w="120"/>
            </w:tcMar>
          </w:tcPr>
          <w:p>
            <w:r>
              <w:t xml:space="preserve">4</w:t>
            </w:r>
          </w:p>
        </w:tc>
      </w:tr>
      <w:tr>
        <w:tc>
          <w:tcPr>
            <w:tcW w:type="dxa" w:w="700"/>
            <w:shd w:fill="FFFFFF" w:val="clear"/>
            <w:tcMar>
              <w:top w:type="dxa" w:w="70"/>
              <w:left w:type="dxa" w:w="120"/>
              <w:bottom w:type="dxa" w:w="70"/>
              <w:right w:type="dxa" w:w="120"/>
            </w:tcMar>
          </w:tcPr>
          <w:p>
            <w:r>
              <w:t xml:space="preserve">5</w:t>
            </w:r>
          </w:p>
        </w:tc>
        <w:tc>
          <w:tcPr>
            <w:tcW w:type="dxa" w:w="4360"/>
            <w:shd w:fill="FFFFFF" w:val="clear"/>
            <w:tcMar>
              <w:top w:type="dxa" w:w="70"/>
              <w:left w:type="dxa" w:w="120"/>
              <w:bottom w:type="dxa" w:w="70"/>
              <w:right w:type="dxa" w:w="120"/>
            </w:tcMar>
          </w:tcPr>
          <w:p>
            <w:r>
              <w:t xml:space="preserve">Counterparty matching engine</w:t>
            </w:r>
          </w:p>
        </w:tc>
        <w:tc>
          <w:tcPr>
            <w:tcW w:type="dxa" w:w="1700"/>
            <w:shd w:fill="FFFFFF" w:val="clear"/>
            <w:tcMar>
              <w:top w:type="dxa" w:w="70"/>
              <w:left w:type="dxa" w:w="120"/>
              <w:bottom w:type="dxa" w:w="70"/>
              <w:right w:type="dxa" w:w="120"/>
            </w:tcMar>
          </w:tcPr>
          <w:p>
            <w:r>
              <w:t xml:space="preserve">Highest / moat</w:t>
            </w:r>
          </w:p>
        </w:tc>
        <w:tc>
          <w:tcPr>
            <w:tcW w:type="dxa" w:w="1300"/>
            <w:shd w:fill="FFFFFF" w:val="clear"/>
            <w:tcMar>
              <w:top w:type="dxa" w:w="70"/>
              <w:left w:type="dxa" w:w="120"/>
              <w:bottom w:type="dxa" w:w="70"/>
              <w:right w:type="dxa" w:w="120"/>
            </w:tcMar>
          </w:tcPr>
          <w:p>
            <w:r>
              <w:t xml:space="preserve">L4</w:t>
            </w:r>
          </w:p>
        </w:tc>
        <w:tc>
          <w:tcPr>
            <w:tcW w:type="dxa" w:w="1300"/>
            <w:shd w:fill="FFFFFF" w:val="clear"/>
            <w:tcMar>
              <w:top w:type="dxa" w:w="70"/>
              <w:left w:type="dxa" w:w="120"/>
              <w:bottom w:type="dxa" w:w="70"/>
              <w:right w:type="dxa" w:w="120"/>
            </w:tcMar>
          </w:tcPr>
          <w:p>
            <w:r>
              <w:t xml:space="preserve">2</w:t>
            </w:r>
          </w:p>
        </w:tc>
      </w:tr>
      <w:tr>
        <w:tc>
          <w:tcPr>
            <w:tcW w:type="dxa" w:w="700"/>
            <w:shd w:fill="EEF3F8" w:val="clear"/>
            <w:tcMar>
              <w:top w:type="dxa" w:w="70"/>
              <w:left w:type="dxa" w:w="120"/>
              <w:bottom w:type="dxa" w:w="70"/>
              <w:right w:type="dxa" w:w="120"/>
            </w:tcMar>
          </w:tcPr>
          <w:p>
            <w:r>
              <w:t xml:space="preserve">6</w:t>
            </w:r>
          </w:p>
        </w:tc>
        <w:tc>
          <w:tcPr>
            <w:tcW w:type="dxa" w:w="4360"/>
            <w:shd w:fill="EEF3F8" w:val="clear"/>
            <w:tcMar>
              <w:top w:type="dxa" w:w="70"/>
              <w:left w:type="dxa" w:w="120"/>
              <w:bottom w:type="dxa" w:w="70"/>
              <w:right w:type="dxa" w:w="120"/>
            </w:tcMar>
          </w:tcPr>
          <w:p>
            <w:r>
              <w:t xml:space="preserve">Acquisition-financing marketplace</w:t>
            </w:r>
          </w:p>
        </w:tc>
        <w:tc>
          <w:tcPr>
            <w:tcW w:type="dxa" w:w="1700"/>
            <w:shd w:fill="EEF3F8" w:val="clear"/>
            <w:tcMar>
              <w:top w:type="dxa" w:w="70"/>
              <w:left w:type="dxa" w:w="120"/>
              <w:bottom w:type="dxa" w:w="70"/>
              <w:right w:type="dxa" w:w="120"/>
            </w:tcMar>
          </w:tcPr>
          <w:p>
            <w:r>
              <w:t xml:space="preserve">High-value</w:t>
            </w:r>
          </w:p>
        </w:tc>
        <w:tc>
          <w:tcPr>
            <w:tcW w:type="dxa" w:w="1300"/>
            <w:shd w:fill="EEF3F8" w:val="clear"/>
            <w:tcMar>
              <w:top w:type="dxa" w:w="70"/>
              <w:left w:type="dxa" w:w="120"/>
              <w:bottom w:type="dxa" w:w="70"/>
              <w:right w:type="dxa" w:w="120"/>
            </w:tcMar>
          </w:tcPr>
          <w:p>
            <w:r>
              <w:t xml:space="preserve">L5</w:t>
            </w:r>
          </w:p>
        </w:tc>
        <w:tc>
          <w:tcPr>
            <w:tcW w:type="dxa" w:w="1300"/>
            <w:shd w:fill="EEF3F8" w:val="clear"/>
            <w:tcMar>
              <w:top w:type="dxa" w:w="70"/>
              <w:left w:type="dxa" w:w="120"/>
              <w:bottom w:type="dxa" w:w="70"/>
              <w:right w:type="dxa" w:w="120"/>
            </w:tcMar>
          </w:tcPr>
          <w:p>
            <w:r>
              <w:t xml:space="preserve">4</w:t>
            </w:r>
          </w:p>
        </w:tc>
      </w:tr>
      <w:tr>
        <w:tc>
          <w:tcPr>
            <w:tcW w:type="dxa" w:w="700"/>
            <w:shd w:fill="FFFFFF" w:val="clear"/>
            <w:tcMar>
              <w:top w:type="dxa" w:w="70"/>
              <w:left w:type="dxa" w:w="120"/>
              <w:bottom w:type="dxa" w:w="70"/>
              <w:right w:type="dxa" w:w="120"/>
            </w:tcMar>
          </w:tcPr>
          <w:p>
            <w:r>
              <w:t xml:space="preserve">7</w:t>
            </w:r>
          </w:p>
        </w:tc>
        <w:tc>
          <w:tcPr>
            <w:tcW w:type="dxa" w:w="4360"/>
            <w:shd w:fill="FFFFFF" w:val="clear"/>
            <w:tcMar>
              <w:top w:type="dxa" w:w="70"/>
              <w:left w:type="dxa" w:w="120"/>
              <w:bottom w:type="dxa" w:w="70"/>
              <w:right w:type="dxa" w:w="120"/>
            </w:tcMar>
          </w:tcPr>
          <w:p>
            <w:r>
              <w:t xml:space="preserve">Regulatory &amp; compliance automation</w:t>
            </w:r>
          </w:p>
        </w:tc>
        <w:tc>
          <w:tcPr>
            <w:tcW w:type="dxa" w:w="1700"/>
            <w:shd w:fill="FFFFFF" w:val="clear"/>
            <w:tcMar>
              <w:top w:type="dxa" w:w="70"/>
              <w:left w:type="dxa" w:w="120"/>
              <w:bottom w:type="dxa" w:w="70"/>
              <w:right w:type="dxa" w:w="120"/>
            </w:tcMar>
          </w:tcPr>
          <w:p>
            <w:r>
              <w:t xml:space="preserve">Enterprise</w:t>
            </w:r>
          </w:p>
        </w:tc>
        <w:tc>
          <w:tcPr>
            <w:tcW w:type="dxa" w:w="1300"/>
            <w:shd w:fill="FFFFFF" w:val="clear"/>
            <w:tcMar>
              <w:top w:type="dxa" w:w="70"/>
              <w:left w:type="dxa" w:w="120"/>
              <w:bottom w:type="dxa" w:w="70"/>
              <w:right w:type="dxa" w:w="120"/>
            </w:tcMar>
          </w:tcPr>
          <w:p>
            <w:r>
              <w:t xml:space="preserve">L5</w:t>
            </w:r>
          </w:p>
        </w:tc>
        <w:tc>
          <w:tcPr>
            <w:tcW w:type="dxa" w:w="1300"/>
            <w:shd w:fill="FFFFFF" w:val="clear"/>
            <w:tcMar>
              <w:top w:type="dxa" w:w="70"/>
              <w:left w:type="dxa" w:w="120"/>
              <w:bottom w:type="dxa" w:w="70"/>
              <w:right w:type="dxa" w:w="120"/>
            </w:tcMar>
          </w:tcPr>
          <w:p>
            <w:r>
              <w:t xml:space="preserve">5</w:t>
            </w:r>
          </w:p>
        </w:tc>
      </w:tr>
      <w:tr>
        <w:tc>
          <w:tcPr>
            <w:tcW w:type="dxa" w:w="700"/>
            <w:shd w:fill="EEF3F8" w:val="clear"/>
            <w:tcMar>
              <w:top w:type="dxa" w:w="70"/>
              <w:left w:type="dxa" w:w="120"/>
              <w:bottom w:type="dxa" w:w="70"/>
              <w:right w:type="dxa" w:w="120"/>
            </w:tcMar>
          </w:tcPr>
          <w:p>
            <w:r>
              <w:t xml:space="preserve">8</w:t>
            </w:r>
          </w:p>
        </w:tc>
        <w:tc>
          <w:tcPr>
            <w:tcW w:type="dxa" w:w="4360"/>
            <w:shd w:fill="EEF3F8" w:val="clear"/>
            <w:tcMar>
              <w:top w:type="dxa" w:w="70"/>
              <w:left w:type="dxa" w:w="120"/>
              <w:bottom w:type="dxa" w:w="70"/>
              <w:right w:type="dxa" w:w="120"/>
            </w:tcMar>
          </w:tcPr>
          <w:p>
            <w:r>
              <w:t xml:space="preserve">Post-close integration OS</w:t>
            </w:r>
          </w:p>
        </w:tc>
        <w:tc>
          <w:tcPr>
            <w:tcW w:type="dxa" w:w="1700"/>
            <w:shd w:fill="EEF3F8" w:val="clear"/>
            <w:tcMar>
              <w:top w:type="dxa" w:w="70"/>
              <w:left w:type="dxa" w:w="120"/>
              <w:bottom w:type="dxa" w:w="70"/>
              <w:right w:type="dxa" w:w="120"/>
            </w:tcMar>
          </w:tcPr>
          <w:p>
            <w:r>
              <w:t xml:space="preserve">High-value</w:t>
            </w:r>
          </w:p>
        </w:tc>
        <w:tc>
          <w:tcPr>
            <w:tcW w:type="dxa" w:w="1300"/>
            <w:shd w:fill="EEF3F8" w:val="clear"/>
            <w:tcMar>
              <w:top w:type="dxa" w:w="70"/>
              <w:left w:type="dxa" w:w="120"/>
              <w:bottom w:type="dxa" w:w="70"/>
              <w:right w:type="dxa" w:w="120"/>
            </w:tcMar>
          </w:tcPr>
          <w:p>
            <w:r>
              <w:t xml:space="preserve">L5</w:t>
            </w:r>
          </w:p>
        </w:tc>
        <w:tc>
          <w:tcPr>
            <w:tcW w:type="dxa" w:w="1300"/>
            <w:shd w:fill="EEF3F8" w:val="clear"/>
            <w:tcMar>
              <w:top w:type="dxa" w:w="70"/>
              <w:left w:type="dxa" w:w="120"/>
              <w:bottom w:type="dxa" w:w="70"/>
              <w:right w:type="dxa" w:w="120"/>
            </w:tcMar>
          </w:tcPr>
          <w:p>
            <w:r>
              <w:t xml:space="preserve">5</w:t>
            </w:r>
          </w:p>
        </w:tc>
      </w:tr>
      <w:tr>
        <w:tc>
          <w:tcPr>
            <w:tcW w:type="dxa" w:w="700"/>
            <w:shd w:fill="FFFFFF" w:val="clear"/>
            <w:tcMar>
              <w:top w:type="dxa" w:w="70"/>
              <w:left w:type="dxa" w:w="120"/>
              <w:bottom w:type="dxa" w:w="70"/>
              <w:right w:type="dxa" w:w="120"/>
            </w:tcMar>
          </w:tcPr>
          <w:p>
            <w:r>
              <w:t xml:space="preserve">9</w:t>
            </w:r>
          </w:p>
        </w:tc>
        <w:tc>
          <w:tcPr>
            <w:tcW w:type="dxa" w:w="4360"/>
            <w:shd w:fill="FFFFFF" w:val="clear"/>
            <w:tcMar>
              <w:top w:type="dxa" w:w="70"/>
              <w:left w:type="dxa" w:w="120"/>
              <w:bottom w:type="dxa" w:w="70"/>
              <w:right w:type="dxa" w:w="120"/>
            </w:tcMar>
          </w:tcPr>
          <w:p>
            <w:r>
              <w:t xml:space="preserve">Market intelligence &amp; predictive analytics</w:t>
            </w:r>
          </w:p>
        </w:tc>
        <w:tc>
          <w:tcPr>
            <w:tcW w:type="dxa" w:w="1700"/>
            <w:shd w:fill="FFFFFF" w:val="clear"/>
            <w:tcMar>
              <w:top w:type="dxa" w:w="70"/>
              <w:left w:type="dxa" w:w="120"/>
              <w:bottom w:type="dxa" w:w="70"/>
              <w:right w:type="dxa" w:w="120"/>
            </w:tcMar>
          </w:tcPr>
          <w:p>
            <w:r>
              <w:t xml:space="preserve">High-value</w:t>
            </w:r>
          </w:p>
        </w:tc>
        <w:tc>
          <w:tcPr>
            <w:tcW w:type="dxa" w:w="1300"/>
            <w:shd w:fill="FFFFFF" w:val="clear"/>
            <w:tcMar>
              <w:top w:type="dxa" w:w="70"/>
              <w:left w:type="dxa" w:w="120"/>
              <w:bottom w:type="dxa" w:w="70"/>
              <w:right w:type="dxa" w:w="120"/>
            </w:tcMar>
          </w:tcPr>
          <w:p>
            <w:r>
              <w:t xml:space="preserve">L4</w:t>
            </w:r>
          </w:p>
        </w:tc>
        <w:tc>
          <w:tcPr>
            <w:tcW w:type="dxa" w:w="1300"/>
            <w:shd w:fill="FFFFFF" w:val="clear"/>
            <w:tcMar>
              <w:top w:type="dxa" w:w="70"/>
              <w:left w:type="dxa" w:w="120"/>
              <w:bottom w:type="dxa" w:w="70"/>
              <w:right w:type="dxa" w:w="120"/>
            </w:tcMar>
          </w:tcPr>
          <w:p>
            <w:r>
              <w:t xml:space="preserve">3</w:t>
            </w:r>
          </w:p>
        </w:tc>
      </w:tr>
      <w:tr>
        <w:tc>
          <w:tcPr>
            <w:tcW w:type="dxa" w:w="700"/>
            <w:shd w:fill="EEF3F8" w:val="clear"/>
            <w:tcMar>
              <w:top w:type="dxa" w:w="70"/>
              <w:left w:type="dxa" w:w="120"/>
              <w:bottom w:type="dxa" w:w="70"/>
              <w:right w:type="dxa" w:w="120"/>
            </w:tcMar>
          </w:tcPr>
          <w:p>
            <w:r>
              <w:t xml:space="preserve">10</w:t>
            </w:r>
          </w:p>
        </w:tc>
        <w:tc>
          <w:tcPr>
            <w:tcW w:type="dxa" w:w="4360"/>
            <w:shd w:fill="EEF3F8" w:val="clear"/>
            <w:tcMar>
              <w:top w:type="dxa" w:w="70"/>
              <w:left w:type="dxa" w:w="120"/>
              <w:bottom w:type="dxa" w:w="70"/>
              <w:right w:type="dxa" w:w="120"/>
            </w:tcMar>
          </w:tcPr>
          <w:p>
            <w:r>
              <w:t xml:space="preserve">Human advisor network orchestration</w:t>
            </w:r>
          </w:p>
        </w:tc>
        <w:tc>
          <w:tcPr>
            <w:tcW w:type="dxa" w:w="1700"/>
            <w:shd w:fill="EEF3F8" w:val="clear"/>
            <w:tcMar>
              <w:top w:type="dxa" w:w="70"/>
              <w:left w:type="dxa" w:w="120"/>
              <w:bottom w:type="dxa" w:w="70"/>
              <w:right w:type="dxa" w:w="120"/>
            </w:tcMar>
          </w:tcPr>
          <w:p>
            <w:r>
              <w:t xml:space="preserve">High-value</w:t>
            </w:r>
          </w:p>
        </w:tc>
        <w:tc>
          <w:tcPr>
            <w:tcW w:type="dxa" w:w="1300"/>
            <w:shd w:fill="EEF3F8" w:val="clear"/>
            <w:tcMar>
              <w:top w:type="dxa" w:w="70"/>
              <w:left w:type="dxa" w:w="120"/>
              <w:bottom w:type="dxa" w:w="70"/>
              <w:right w:type="dxa" w:w="120"/>
            </w:tcMar>
          </w:tcPr>
          <w:p>
            <w:r>
              <w:t xml:space="preserve">L5</w:t>
            </w:r>
          </w:p>
        </w:tc>
        <w:tc>
          <w:tcPr>
            <w:tcW w:type="dxa" w:w="1300"/>
            <w:shd w:fill="EEF3F8" w:val="clear"/>
            <w:tcMar>
              <w:top w:type="dxa" w:w="70"/>
              <w:left w:type="dxa" w:w="120"/>
              <w:bottom w:type="dxa" w:w="70"/>
              <w:right w:type="dxa" w:w="120"/>
            </w:tcMar>
          </w:tcPr>
          <w:p>
            <w:r>
              <w:t xml:space="preserve">4</w:t>
            </w:r>
          </w:p>
        </w:tc>
      </w:tr>
      <w:tr>
        <w:tc>
          <w:tcPr>
            <w:tcW w:type="dxa" w:w="700"/>
            <w:shd w:fill="FFFFFF" w:val="clear"/>
            <w:tcMar>
              <w:top w:type="dxa" w:w="70"/>
              <w:left w:type="dxa" w:w="120"/>
              <w:bottom w:type="dxa" w:w="70"/>
              <w:right w:type="dxa" w:w="120"/>
            </w:tcMar>
          </w:tcPr>
          <w:p>
            <w:r>
              <w:t xml:space="preserve">11</w:t>
            </w:r>
          </w:p>
        </w:tc>
        <w:tc>
          <w:tcPr>
            <w:tcW w:type="dxa" w:w="4360"/>
            <w:shd w:fill="FFFFFF" w:val="clear"/>
            <w:tcMar>
              <w:top w:type="dxa" w:w="70"/>
              <w:left w:type="dxa" w:w="120"/>
              <w:bottom w:type="dxa" w:w="70"/>
              <w:right w:type="dxa" w:w="120"/>
            </w:tcMar>
          </w:tcPr>
          <w:p>
            <w:r>
              <w:t xml:space="preserve">Security, legal &amp; enterprise trust</w:t>
            </w:r>
          </w:p>
        </w:tc>
        <w:tc>
          <w:tcPr>
            <w:tcW w:type="dxa" w:w="1700"/>
            <w:shd w:fill="FFFFFF" w:val="clear"/>
            <w:tcMar>
              <w:top w:type="dxa" w:w="70"/>
              <w:left w:type="dxa" w:w="120"/>
              <w:bottom w:type="dxa" w:w="70"/>
              <w:right w:type="dxa" w:w="120"/>
            </w:tcMar>
          </w:tcPr>
          <w:p>
            <w:r>
              <w:t xml:space="preserve">Enterprise</w:t>
            </w:r>
          </w:p>
        </w:tc>
        <w:tc>
          <w:tcPr>
            <w:tcW w:type="dxa" w:w="1300"/>
            <w:shd w:fill="FFFFFF" w:val="clear"/>
            <w:tcMar>
              <w:top w:type="dxa" w:w="70"/>
              <w:left w:type="dxa" w:w="120"/>
              <w:bottom w:type="dxa" w:w="70"/>
              <w:right w:type="dxa" w:w="120"/>
            </w:tcMar>
          </w:tcPr>
          <w:p>
            <w:r>
              <w:t xml:space="preserve">cross-cutting</w:t>
            </w:r>
          </w:p>
        </w:tc>
        <w:tc>
          <w:tcPr>
            <w:tcW w:type="dxa" w:w="1300"/>
            <w:shd w:fill="FFFFFF" w:val="clear"/>
            <w:tcMar>
              <w:top w:type="dxa" w:w="70"/>
              <w:left w:type="dxa" w:w="120"/>
              <w:bottom w:type="dxa" w:w="70"/>
              <w:right w:type="dxa" w:w="120"/>
            </w:tcMar>
          </w:tcPr>
          <w:p>
            <w:r>
              <w:t xml:space="preserve">0</w:t>
            </w:r>
          </w:p>
        </w:tc>
      </w:tr>
      <w:tr>
        <w:tc>
          <w:tcPr>
            <w:tcW w:type="dxa" w:w="700"/>
            <w:shd w:fill="EEF3F8" w:val="clear"/>
            <w:tcMar>
              <w:top w:type="dxa" w:w="70"/>
              <w:left w:type="dxa" w:w="120"/>
              <w:bottom w:type="dxa" w:w="70"/>
              <w:right w:type="dxa" w:w="120"/>
            </w:tcMar>
          </w:tcPr>
          <w:p>
            <w:r>
              <w:t xml:space="preserve">12</w:t>
            </w:r>
          </w:p>
        </w:tc>
        <w:tc>
          <w:tcPr>
            <w:tcW w:type="dxa" w:w="4360"/>
            <w:shd w:fill="EEF3F8" w:val="clear"/>
            <w:tcMar>
              <w:top w:type="dxa" w:w="70"/>
              <w:left w:type="dxa" w:w="120"/>
              <w:bottom w:type="dxa" w:w="70"/>
              <w:right w:type="dxa" w:w="120"/>
            </w:tcMar>
          </w:tcPr>
          <w:p>
            <w:r>
              <w:t xml:space="preserve">Outcome &amp; network flywheel</w:t>
            </w:r>
          </w:p>
        </w:tc>
        <w:tc>
          <w:tcPr>
            <w:tcW w:type="dxa" w:w="1700"/>
            <w:shd w:fill="EEF3F8" w:val="clear"/>
            <w:tcMar>
              <w:top w:type="dxa" w:w="70"/>
              <w:left w:type="dxa" w:w="120"/>
              <w:bottom w:type="dxa" w:w="70"/>
              <w:right w:type="dxa" w:w="120"/>
            </w:tcMar>
          </w:tcPr>
          <w:p>
            <w:r>
              <w:t xml:space="preserve">Highest / moat</w:t>
            </w:r>
          </w:p>
        </w:tc>
        <w:tc>
          <w:tcPr>
            <w:tcW w:type="dxa" w:w="1300"/>
            <w:shd w:fill="EEF3F8" w:val="clear"/>
            <w:tcMar>
              <w:top w:type="dxa" w:w="70"/>
              <w:left w:type="dxa" w:w="120"/>
              <w:bottom w:type="dxa" w:w="70"/>
              <w:right w:type="dxa" w:w="120"/>
            </w:tcMar>
          </w:tcPr>
          <w:p>
            <w:r>
              <w:t xml:space="preserve">L2</w:t>
            </w:r>
          </w:p>
        </w:tc>
        <w:tc>
          <w:tcPr>
            <w:tcW w:type="dxa" w:w="1300"/>
            <w:shd w:fill="EEF3F8" w:val="clear"/>
            <w:tcMar>
              <w:top w:type="dxa" w:w="70"/>
              <w:left w:type="dxa" w:w="120"/>
              <w:bottom w:type="dxa" w:w="70"/>
              <w:right w:type="dxa" w:w="120"/>
            </w:tcMar>
          </w:tcPr>
          <w:p>
            <w:r>
              <w:t xml:space="preserve">5*</w:t>
            </w:r>
          </w:p>
        </w:tc>
      </w:tr>
      <w:tr>
        <w:tc>
          <w:tcPr>
            <w:tcW w:type="dxa" w:w="700"/>
            <w:shd w:fill="FFFFFF" w:val="clear"/>
            <w:tcMar>
              <w:top w:type="dxa" w:w="70"/>
              <w:left w:type="dxa" w:w="120"/>
              <w:bottom w:type="dxa" w:w="70"/>
              <w:right w:type="dxa" w:w="120"/>
            </w:tcMar>
          </w:tcPr>
          <w:p>
            <w:r>
              <w:t xml:space="preserve">13</w:t>
            </w:r>
          </w:p>
        </w:tc>
        <w:tc>
          <w:tcPr>
            <w:tcW w:type="dxa" w:w="4360"/>
            <w:shd w:fill="FFFFFF" w:val="clear"/>
            <w:tcMar>
              <w:top w:type="dxa" w:w="70"/>
              <w:left w:type="dxa" w:w="120"/>
              <w:bottom w:type="dxa" w:w="70"/>
              <w:right w:type="dxa" w:w="120"/>
            </w:tcMar>
          </w:tcPr>
          <w:p>
            <w:r>
              <w:t xml:space="preserve">Localization (EN/AR, RTL) &amp; multi-currency</w:t>
            </w:r>
          </w:p>
        </w:tc>
        <w:tc>
          <w:tcPr>
            <w:tcW w:type="dxa" w:w="1700"/>
            <w:shd w:fill="FFFFFF" w:val="clear"/>
            <w:tcMar>
              <w:top w:type="dxa" w:w="70"/>
              <w:left w:type="dxa" w:w="120"/>
              <w:bottom w:type="dxa" w:w="70"/>
              <w:right w:type="dxa" w:w="120"/>
            </w:tcMar>
          </w:tcPr>
          <w:p>
            <w:r>
              <w:t xml:space="preserve">Foundation</w:t>
            </w:r>
          </w:p>
        </w:tc>
        <w:tc>
          <w:tcPr>
            <w:tcW w:type="dxa" w:w="1300"/>
            <w:shd w:fill="FFFFFF" w:val="clear"/>
            <w:tcMar>
              <w:top w:type="dxa" w:w="70"/>
              <w:left w:type="dxa" w:w="120"/>
              <w:bottom w:type="dxa" w:w="70"/>
              <w:right w:type="dxa" w:w="120"/>
            </w:tcMar>
          </w:tcPr>
          <w:p>
            <w:r>
              <w:t xml:space="preserve">cross-cutting</w:t>
            </w:r>
          </w:p>
        </w:tc>
        <w:tc>
          <w:tcPr>
            <w:tcW w:type="dxa" w:w="1300"/>
            <w:shd w:fill="FFFFFF" w:val="clear"/>
            <w:tcMar>
              <w:top w:type="dxa" w:w="70"/>
              <w:left w:type="dxa" w:w="120"/>
              <w:bottom w:type="dxa" w:w="70"/>
              <w:right w:type="dxa" w:w="120"/>
            </w:tcMar>
          </w:tcPr>
          <w:p>
            <w:r>
              <w:t xml:space="preserve">0</w:t>
            </w:r>
          </w:p>
        </w:tc>
      </w:tr>
      <w:tr>
        <w:tc>
          <w:tcPr>
            <w:tcW w:type="dxa" w:w="700"/>
            <w:shd w:fill="EEF3F8" w:val="clear"/>
            <w:tcMar>
              <w:top w:type="dxa" w:w="70"/>
              <w:left w:type="dxa" w:w="120"/>
              <w:bottom w:type="dxa" w:w="70"/>
              <w:right w:type="dxa" w:w="120"/>
            </w:tcMar>
          </w:tcPr>
          <w:p>
            <w:r>
              <w:t xml:space="preserve">14</w:t>
            </w:r>
          </w:p>
        </w:tc>
        <w:tc>
          <w:tcPr>
            <w:tcW w:type="dxa" w:w="4360"/>
            <w:shd w:fill="EEF3F8" w:val="clear"/>
            <w:tcMar>
              <w:top w:type="dxa" w:w="70"/>
              <w:left w:type="dxa" w:w="120"/>
              <w:bottom w:type="dxa" w:w="70"/>
              <w:right w:type="dxa" w:w="120"/>
            </w:tcMar>
          </w:tcPr>
          <w:p>
            <w:r>
              <w:t xml:space="preserve">Full document scanner &amp; secure intake</w:t>
            </w:r>
          </w:p>
        </w:tc>
        <w:tc>
          <w:tcPr>
            <w:tcW w:type="dxa" w:w="1700"/>
            <w:shd w:fill="EEF3F8" w:val="clear"/>
            <w:tcMar>
              <w:top w:type="dxa" w:w="70"/>
              <w:left w:type="dxa" w:w="120"/>
              <w:bottom w:type="dxa" w:w="70"/>
              <w:right w:type="dxa" w:w="120"/>
            </w:tcMar>
          </w:tcPr>
          <w:p>
            <w:r>
              <w:t xml:space="preserve">Foundation</w:t>
            </w:r>
          </w:p>
        </w:tc>
        <w:tc>
          <w:tcPr>
            <w:tcW w:type="dxa" w:w="1300"/>
            <w:shd w:fill="EEF3F8" w:val="clear"/>
            <w:tcMar>
              <w:top w:type="dxa" w:w="70"/>
              <w:left w:type="dxa" w:w="120"/>
              <w:bottom w:type="dxa" w:w="70"/>
              <w:right w:type="dxa" w:w="120"/>
            </w:tcMar>
          </w:tcPr>
          <w:p>
            <w:r>
              <w:t xml:space="preserve">L1</w:t>
            </w:r>
          </w:p>
        </w:tc>
        <w:tc>
          <w:tcPr>
            <w:tcW w:type="dxa" w:w="1300"/>
            <w:shd w:fill="EEF3F8" w:val="clear"/>
            <w:tcMar>
              <w:top w:type="dxa" w:w="70"/>
              <w:left w:type="dxa" w:w="120"/>
              <w:bottom w:type="dxa" w:w="70"/>
              <w:right w:type="dxa" w:w="120"/>
            </w:tcMar>
          </w:tcPr>
          <w:p>
            <w:r>
              <w:t xml:space="preserve">0</w:t>
            </w:r>
          </w:p>
        </w:tc>
      </w:tr>
      <w:tr>
        <w:tc>
          <w:tcPr>
            <w:tcW w:type="dxa" w:w="700"/>
            <w:shd w:fill="FFFFFF" w:val="clear"/>
            <w:tcMar>
              <w:top w:type="dxa" w:w="70"/>
              <w:left w:type="dxa" w:w="120"/>
              <w:bottom w:type="dxa" w:w="70"/>
              <w:right w:type="dxa" w:w="120"/>
            </w:tcMar>
          </w:tcPr>
          <w:p>
            <w:r>
              <w:t xml:space="preserve">15</w:t>
            </w:r>
          </w:p>
        </w:tc>
        <w:tc>
          <w:tcPr>
            <w:tcW w:type="dxa" w:w="4360"/>
            <w:shd w:fill="FFFFFF" w:val="clear"/>
            <w:tcMar>
              <w:top w:type="dxa" w:w="70"/>
              <w:left w:type="dxa" w:w="120"/>
              <w:bottom w:type="dxa" w:w="70"/>
              <w:right w:type="dxa" w:w="120"/>
            </w:tcMar>
          </w:tcPr>
          <w:p>
            <w:r>
              <w:t xml:space="preserve">Internal communications</w:t>
            </w:r>
          </w:p>
        </w:tc>
        <w:tc>
          <w:tcPr>
            <w:tcW w:type="dxa" w:w="1700"/>
            <w:shd w:fill="FFFFFF" w:val="clear"/>
            <w:tcMar>
              <w:top w:type="dxa" w:w="70"/>
              <w:left w:type="dxa" w:w="120"/>
              <w:bottom w:type="dxa" w:w="70"/>
              <w:right w:type="dxa" w:w="120"/>
            </w:tcMar>
          </w:tcPr>
          <w:p>
            <w:r>
              <w:t xml:space="preserve">Foundation</w:t>
            </w:r>
          </w:p>
        </w:tc>
        <w:tc>
          <w:tcPr>
            <w:tcW w:type="dxa" w:w="1300"/>
            <w:shd w:fill="FFFFFF" w:val="clear"/>
            <w:tcMar>
              <w:top w:type="dxa" w:w="70"/>
              <w:left w:type="dxa" w:w="120"/>
              <w:bottom w:type="dxa" w:w="70"/>
              <w:right w:type="dxa" w:w="120"/>
            </w:tcMar>
          </w:tcPr>
          <w:p>
            <w:r>
              <w:t xml:space="preserve">L5</w:t>
            </w:r>
          </w:p>
        </w:tc>
        <w:tc>
          <w:tcPr>
            <w:tcW w:type="dxa" w:w="1300"/>
            <w:shd w:fill="FFFFFF" w:val="clear"/>
            <w:tcMar>
              <w:top w:type="dxa" w:w="70"/>
              <w:left w:type="dxa" w:w="120"/>
              <w:bottom w:type="dxa" w:w="70"/>
              <w:right w:type="dxa" w:w="120"/>
            </w:tcMar>
          </w:tcPr>
          <w:p>
            <w:r>
              <w:t xml:space="preserve">0–1</w:t>
            </w:r>
          </w:p>
        </w:tc>
      </w:tr>
      <w:tr>
        <w:tc>
          <w:tcPr>
            <w:tcW w:type="dxa" w:w="700"/>
            <w:shd w:fill="EEF3F8" w:val="clear"/>
            <w:tcMar>
              <w:top w:type="dxa" w:w="70"/>
              <w:left w:type="dxa" w:w="120"/>
              <w:bottom w:type="dxa" w:w="70"/>
              <w:right w:type="dxa" w:w="120"/>
            </w:tcMar>
          </w:tcPr>
          <w:p>
            <w:r>
              <w:t xml:space="preserve">16</w:t>
            </w:r>
          </w:p>
        </w:tc>
        <w:tc>
          <w:tcPr>
            <w:tcW w:type="dxa" w:w="4360"/>
            <w:shd w:fill="EEF3F8" w:val="clear"/>
            <w:tcMar>
              <w:top w:type="dxa" w:w="70"/>
              <w:left w:type="dxa" w:w="120"/>
              <w:bottom w:type="dxa" w:w="70"/>
              <w:right w:type="dxa" w:w="120"/>
            </w:tcMar>
          </w:tcPr>
          <w:p>
            <w:r>
              <w:t xml:space="preserve">Admin functions &amp; platform governance</w:t>
            </w:r>
          </w:p>
        </w:tc>
        <w:tc>
          <w:tcPr>
            <w:tcW w:type="dxa" w:w="1700"/>
            <w:shd w:fill="EEF3F8" w:val="clear"/>
            <w:tcMar>
              <w:top w:type="dxa" w:w="70"/>
              <w:left w:type="dxa" w:w="120"/>
              <w:bottom w:type="dxa" w:w="70"/>
              <w:right w:type="dxa" w:w="120"/>
            </w:tcMar>
          </w:tcPr>
          <w:p>
            <w:r>
              <w:t xml:space="preserve">Foundation</w:t>
            </w:r>
          </w:p>
        </w:tc>
        <w:tc>
          <w:tcPr>
            <w:tcW w:type="dxa" w:w="1300"/>
            <w:shd w:fill="EEF3F8" w:val="clear"/>
            <w:tcMar>
              <w:top w:type="dxa" w:w="70"/>
              <w:left w:type="dxa" w:w="120"/>
              <w:bottom w:type="dxa" w:w="70"/>
              <w:right w:type="dxa" w:w="120"/>
            </w:tcMar>
          </w:tcPr>
          <w:p>
            <w:r>
              <w:t xml:space="preserve">cross-cutting</w:t>
            </w:r>
          </w:p>
        </w:tc>
        <w:tc>
          <w:tcPr>
            <w:tcW w:type="dxa" w:w="1300"/>
            <w:shd w:fill="EEF3F8" w:val="clear"/>
            <w:tcMar>
              <w:top w:type="dxa" w:w="70"/>
              <w:left w:type="dxa" w:w="120"/>
              <w:bottom w:type="dxa" w:w="70"/>
              <w:right w:type="dxa" w:w="120"/>
            </w:tcMar>
          </w:tcPr>
          <w:p>
            <w:r>
              <w:t xml:space="preserve">0</w:t>
            </w:r>
          </w:p>
        </w:tc>
      </w:tr>
      <w:tr>
        <w:tc>
          <w:tcPr>
            <w:tcW w:type="dxa" w:w="700"/>
            <w:shd w:fill="FFFFFF" w:val="clear"/>
            <w:tcMar>
              <w:top w:type="dxa" w:w="70"/>
              <w:left w:type="dxa" w:w="120"/>
              <w:bottom w:type="dxa" w:w="70"/>
              <w:right w:type="dxa" w:w="120"/>
            </w:tcMar>
          </w:tcPr>
          <w:p>
            <w:r>
              <w:t xml:space="preserve">17</w:t>
            </w:r>
          </w:p>
        </w:tc>
        <w:tc>
          <w:tcPr>
            <w:tcW w:type="dxa" w:w="4360"/>
            <w:shd w:fill="FFFFFF" w:val="clear"/>
            <w:tcMar>
              <w:top w:type="dxa" w:w="70"/>
              <w:left w:type="dxa" w:w="120"/>
              <w:bottom w:type="dxa" w:w="70"/>
              <w:right w:type="dxa" w:w="120"/>
            </w:tcMar>
          </w:tcPr>
          <w:p>
            <w:r>
              <w:t xml:space="preserve">Protected data &amp; full compliance (NA + GCC)</w:t>
            </w:r>
          </w:p>
        </w:tc>
        <w:tc>
          <w:tcPr>
            <w:tcW w:type="dxa" w:w="1700"/>
            <w:shd w:fill="FFFFFF" w:val="clear"/>
            <w:tcMar>
              <w:top w:type="dxa" w:w="70"/>
              <w:left w:type="dxa" w:w="120"/>
              <w:bottom w:type="dxa" w:w="70"/>
              <w:right w:type="dxa" w:w="120"/>
            </w:tcMar>
          </w:tcPr>
          <w:p>
            <w:r>
              <w:t xml:space="preserve">Foundation</w:t>
            </w:r>
          </w:p>
        </w:tc>
        <w:tc>
          <w:tcPr>
            <w:tcW w:type="dxa" w:w="1300"/>
            <w:shd w:fill="FFFFFF" w:val="clear"/>
            <w:tcMar>
              <w:top w:type="dxa" w:w="70"/>
              <w:left w:type="dxa" w:w="120"/>
              <w:bottom w:type="dxa" w:w="70"/>
              <w:right w:type="dxa" w:w="120"/>
            </w:tcMar>
          </w:tcPr>
          <w:p>
            <w:r>
              <w:t xml:space="preserve">cross-cutting</w:t>
            </w:r>
          </w:p>
        </w:tc>
        <w:tc>
          <w:tcPr>
            <w:tcW w:type="dxa" w:w="1300"/>
            <w:shd w:fill="FFFFFF" w:val="clear"/>
            <w:tcMar>
              <w:top w:type="dxa" w:w="70"/>
              <w:left w:type="dxa" w:w="120"/>
              <w:bottom w:type="dxa" w:w="70"/>
              <w:right w:type="dxa" w:w="120"/>
            </w:tcMar>
          </w:tcPr>
          <w:p>
            <w:r>
              <w:t xml:space="preserve">0</w:t>
            </w:r>
          </w:p>
        </w:tc>
      </w:tr>
    </w:tbl>
    <w:p>
      <w:pPr>
        <w:spacing w:after="120" w:line="276"/>
      </w:pPr>
      <w:r>
        <w:t xml:space="preserve">*Outcome capture (L12) is fully instrumented in Phase 5, but write-back hooks must be designed into every component from Phase 0. The five foundations (13–17) are anchored in Phase 0 because they touch every screen, field, and stored object and cannot be retrofitted.</w:t>
      </w:r>
    </w:p>
    <w:p>
      <w:pPr>
        <w:spacing w:before="240"/>
      </w:pPr>
      <w:r>
        <w:rPr>
          <w:i/>
          <w:iCs/>
          <w:color w:val="595959"/>
        </w:rPr>
        <w:t xml:space="preserve">End of v4. ForwardOS — the Corporate Transactions OS. This scope incorporates the ForwardOS Delta Review plus the platform foundations (bilingual EN/AR, multi-currency USD/CAD/AED/SAR, full compliance stack), and excludes capital raising and IPO/public-markets preparation. It is the working spec for the ForwardOS build.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Confidential · UP Capital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595959"/>
        <w:sz w:val="16"/>
        <w:szCs w:val="16"/>
      </w:rPr>
      <w:t xml:space="preserve">ForwardOS™ — Build &amp; Execution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decimal"/>
      <w:lvlText w:val="%1."/>
      <w:lvlJc w:val="left"/>
      <w:pPr>
        <w:ind w:left="600" w:hanging="320"/>
      </w:pPr>
    </w:lvl>
  </w:abstractNum>
  <w:abstractNum w:abstractNumId="5" w15:restartNumberingAfterBreak="0">
    <w:multiLevelType w:val="hybridMultilevel"/>
    <w:lvl w:ilvl="0" w15:tentative="1">
      <w:start w:val="1"/>
      <w:numFmt w:val="decimal"/>
      <w:lvlText w:val="%1."/>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E75B6" w:sz="6" w:space="4"/>
      </w:pBdr>
      <w:spacing w:after="160" w:before="32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100" w:before="220"/>
      <w:outlineLvl w:val="1"/>
    </w:pPr>
    <w:rPr>
      <w:rFonts w:ascii="Calibri" w:cs="Calibri" w:eastAsia="Calibri" w:hAnsi="Calibri"/>
      <w:b/>
      <w:bCs/>
      <w:color w:val="2E75B6"/>
      <w:sz w:val="25"/>
      <w:szCs w:val="25"/>
    </w:rPr>
  </w:style>
  <w:style w:type="paragraph" w:styleId="Heading3">
    <w:name w:val="Heading 3"/>
    <w:basedOn w:val="Normal"/>
    <w:next w:val="Normal"/>
    <w:qFormat/>
    <w:pPr>
      <w:keepNext/>
      <w:spacing w:after="80" w:before="160"/>
      <w:outlineLvl w:val="2"/>
    </w:pPr>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2026-06-07T12:02:14.187Z</dcterms:created>
  <dcterms:modified xsi:type="dcterms:W3CDTF">2026-06-07T12:02:14.187Z</dcterms:modified>
</cp:coreProperties>
</file>

<file path=docProps/custom.xml><?xml version="1.0" encoding="utf-8"?>
<Properties xmlns="http://schemas.openxmlformats.org/officeDocument/2006/custom-properties" xmlns:vt="http://schemas.openxmlformats.org/officeDocument/2006/docPropsVTypes"/>
</file>