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B86" w:rsidRPr="00B77834" w:rsidRDefault="00CE2B86" w:rsidP="00CE2B86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B77834">
        <w:rPr>
          <w:rFonts w:ascii="Times New Roman" w:hAnsi="Times New Roman" w:cs="Times New Roman"/>
          <w:sz w:val="24"/>
          <w:szCs w:val="24"/>
        </w:rPr>
        <w:t xml:space="preserve">Table </w:t>
      </w:r>
      <w:r w:rsidR="00981332">
        <w:rPr>
          <w:rFonts w:ascii="Times New Roman" w:hAnsi="Times New Roman" w:cs="Times New Roman"/>
          <w:sz w:val="24"/>
          <w:szCs w:val="24"/>
        </w:rPr>
        <w:t>Two</w:t>
      </w:r>
      <w:bookmarkStart w:id="0" w:name="_GoBack"/>
      <w:bookmarkEnd w:id="0"/>
      <w:r w:rsidRPr="00B778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Detailed description of </w:t>
      </w:r>
      <w:r w:rsidRPr="00B77834">
        <w:rPr>
          <w:rFonts w:ascii="Times New Roman" w:hAnsi="Times New Roman" w:cs="Times New Roman"/>
          <w:sz w:val="24"/>
          <w:szCs w:val="24"/>
        </w:rPr>
        <w:t>CSC parameters</w:t>
      </w:r>
      <w:r>
        <w:rPr>
          <w:rFonts w:ascii="Times New Roman" w:hAnsi="Times New Roman" w:cs="Times New Roman"/>
          <w:sz w:val="24"/>
          <w:szCs w:val="24"/>
        </w:rPr>
        <w:t xml:space="preserve"> with units and references, where available. </w:t>
      </w:r>
      <w:r w:rsidR="00D86E4F">
        <w:rPr>
          <w:rFonts w:ascii="Times New Roman" w:hAnsi="Times New Roman" w:cs="Times New Roman"/>
          <w:sz w:val="24"/>
          <w:szCs w:val="24"/>
        </w:rPr>
        <w:t>Table adapted from Atkins et al. 2018.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056"/>
        <w:gridCol w:w="803"/>
        <w:gridCol w:w="2548"/>
        <w:gridCol w:w="1639"/>
      </w:tblGrid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Density</w:t>
            </w:r>
          </w:p>
        </w:tc>
        <w:tc>
          <w:tcPr>
            <w:tcW w:w="1056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Mean VAI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2407">
              <w:rPr>
                <w:rFonts w:ascii="Times New Roman" w:hAnsi="Times New Roman" w:cs="Times New Roman"/>
                <w:i/>
                <w:sz w:val="24"/>
                <w:szCs w:val="24"/>
              </w:rPr>
              <w:t>VAI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Mean of column summed vegetation area index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Beland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 2011; 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2013a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Mean Outer Canopy Height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2407">
              <w:rPr>
                <w:rFonts w:ascii="Times New Roman" w:hAnsi="Times New Roman" w:cs="Times New Roman"/>
                <w:i/>
                <w:sz w:val="24"/>
                <w:szCs w:val="24"/>
              </w:rPr>
              <w:t>MOCH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Mean of the column maximum canopy height</w:t>
            </w:r>
          </w:p>
        </w:tc>
        <w:tc>
          <w:tcPr>
            <w:tcW w:w="1639" w:type="dxa"/>
          </w:tcPr>
          <w:p w:rsidR="00CE2B86" w:rsidRPr="00D86E4F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Parker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  <w:r w:rsidR="00D86E4F">
              <w:rPr>
                <w:rFonts w:ascii="Times New Roman" w:hAnsi="Times New Roman" w:cs="Times New Roman"/>
                <w:sz w:val="24"/>
                <w:szCs w:val="24"/>
              </w:rPr>
              <w:t xml:space="preserve">; Atkins </w:t>
            </w:r>
            <w:r w:rsidR="00D86E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="00D86E4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Arrangement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Clumping Index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407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 of foliar clumping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Zhao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2012;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2013a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Canopy Porosity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ED240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ED24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Ratio of bins with no leaf area to total bins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2013a; </w:t>
            </w:r>
            <w:proofErr w:type="spellStart"/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Loefller</w:t>
            </w:r>
            <w:proofErr w:type="spellEnd"/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1992; Zhu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 2005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b/>
                <w:sz w:val="24"/>
                <w:szCs w:val="24"/>
              </w:rPr>
              <w:t>Cover and Openness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Gap Fraction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407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Transect mean of column ratio of sky hits relative to total leaf returns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Chen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proofErr w:type="gramStart"/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2005;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Zhao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2012;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2013a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Cover Fraction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CF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Transect mean of column ratio of canopy </w:t>
            </w: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hits relative to total leaf returns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2013a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Complexity</w:t>
            </w:r>
          </w:p>
        </w:tc>
        <w:tc>
          <w:tcPr>
            <w:tcW w:w="1056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Canopy Rugosity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ED24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ED24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Transect variability of column variability of leaf density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2011; 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2013a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 Rugosity</w:t>
            </w:r>
          </w:p>
        </w:tc>
        <w:tc>
          <w:tcPr>
            <w:tcW w:w="1056" w:type="dxa"/>
          </w:tcPr>
          <w:p w:rsidR="00CE2B86" w:rsidRPr="00ED2407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ED240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ED240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Transect variability of column maximum canopy height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Hardiman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2013a; Parker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>et al. 2004</w:t>
            </w:r>
          </w:p>
        </w:tc>
      </w:tr>
      <w:tr w:rsidR="00CE2B86" w:rsidRPr="00B77834" w:rsidTr="00CE2B86">
        <w:tc>
          <w:tcPr>
            <w:tcW w:w="1905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Rumple</w:t>
            </w:r>
          </w:p>
        </w:tc>
        <w:tc>
          <w:tcPr>
            <w:tcW w:w="1056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2548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 of the outer canopy surface to the ground surface</w:t>
            </w:r>
          </w:p>
        </w:tc>
        <w:tc>
          <w:tcPr>
            <w:tcW w:w="1639" w:type="dxa"/>
          </w:tcPr>
          <w:p w:rsidR="00CE2B86" w:rsidRPr="00B77834" w:rsidRDefault="00CE2B86" w:rsidP="004E1EA8">
            <w:pPr>
              <w:spacing w:line="36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Parker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 2004,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Kane et al. 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2008, Kane </w:t>
            </w:r>
            <w:r w:rsidRPr="00B77834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B77834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</w:p>
        </w:tc>
      </w:tr>
    </w:tbl>
    <w:p w:rsidR="00CE2B86" w:rsidRPr="00B77834" w:rsidRDefault="00CE2B86" w:rsidP="00CE2B86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317ED6" w:rsidRDefault="00981332"/>
    <w:sectPr w:rsidR="0031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6"/>
    <w:rsid w:val="001C1C5A"/>
    <w:rsid w:val="00850400"/>
    <w:rsid w:val="00981332"/>
    <w:rsid w:val="00CE2B86"/>
    <w:rsid w:val="00D86E4F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1246"/>
  <w15:chartTrackingRefBased/>
  <w15:docId w15:val="{FBCBEEAA-78E5-4794-8929-89AA2C6F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</dc:creator>
  <cp:keywords/>
  <dc:description/>
  <cp:lastModifiedBy>JWA</cp:lastModifiedBy>
  <cp:revision>3</cp:revision>
  <dcterms:created xsi:type="dcterms:W3CDTF">2018-11-02T14:04:00Z</dcterms:created>
  <dcterms:modified xsi:type="dcterms:W3CDTF">2018-11-02T14:08:00Z</dcterms:modified>
</cp:coreProperties>
</file>