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E2F42" w14:textId="60ADF8E8" w:rsidR="00A01799" w:rsidRDefault="00CA2801" w:rsidP="003C2B48">
      <w:pPr>
        <w:pStyle w:val="Heading1"/>
      </w:pPr>
      <w:r>
        <w:t>Proof of concept</w:t>
      </w:r>
    </w:p>
    <w:p w14:paraId="271FF128" w14:textId="078D2961" w:rsidR="003C2B48" w:rsidRDefault="00CA2801">
      <w:r>
        <w:tab/>
        <w:t>As a proof-of-concept of multivariate constraint, we developed a simple joint analysis of vegetation aboveground biomass and population density of moose (</w:t>
      </w:r>
      <w:r>
        <w:rPr>
          <w:i/>
          <w:iCs/>
        </w:rPr>
        <w:t xml:space="preserve">Alces </w:t>
      </w:r>
      <w:proofErr w:type="spellStart"/>
      <w:r>
        <w:rPr>
          <w:i/>
          <w:iCs/>
        </w:rPr>
        <w:t>alces</w:t>
      </w:r>
      <w:proofErr w:type="spellEnd"/>
      <w:r>
        <w:t xml:space="preserve">) in North America. This analysis uses information from </w:t>
      </w:r>
      <w:r w:rsidR="00D639AB">
        <w:t xml:space="preserve">a </w:t>
      </w:r>
      <w:r>
        <w:t>combination of models and observations</w:t>
      </w:r>
      <w:r w:rsidR="00D639AB">
        <w:t xml:space="preserve"> and demonstrates how a model that jointly predicts moose density and vegetation biomass allows us to use information on one variable to indirectly constrain others.</w:t>
      </w:r>
    </w:p>
    <w:p w14:paraId="552ACB8B" w14:textId="1D98BCBC" w:rsidR="003C2B48" w:rsidRDefault="003C2B48" w:rsidP="003C2B48">
      <w:pPr>
        <w:pStyle w:val="Heading2"/>
      </w:pPr>
      <w:r>
        <w:t>Data descriptions and processing</w:t>
      </w:r>
    </w:p>
    <w:p w14:paraId="631EC89A" w14:textId="4DD33C5C" w:rsidR="00CA2801" w:rsidRDefault="00CA2801" w:rsidP="00CA2801">
      <w:pPr>
        <w:ind w:firstLine="720"/>
      </w:pPr>
      <w:r>
        <w:t xml:space="preserve">First, we obtained aboveground </w:t>
      </w:r>
      <w:r w:rsidR="000B702E">
        <w:t xml:space="preserve">vegetation </w:t>
      </w:r>
      <w:r>
        <w:t>biomass estimates from the North American Carbon Program (NACP) Multi-scale Synthesis and Terrestrial Model Intercomparison Project (</w:t>
      </w:r>
      <w:proofErr w:type="spellStart"/>
      <w:r>
        <w:t>MstMIP</w:t>
      </w:r>
      <w:proofErr w:type="spellEnd"/>
      <w:r>
        <w:t xml:space="preserve">; </w:t>
      </w:r>
      <w:proofErr w:type="spellStart"/>
      <w:r>
        <w:t>Huntzinger</w:t>
      </w:r>
      <w:proofErr w:type="spellEnd"/>
      <w:r>
        <w:t xml:space="preserve"> et al. 2018). The complete dataset comprises </w:t>
      </w:r>
      <w:r w:rsidR="000B702E">
        <w:t>global gridded 0.5</w:t>
      </w:r>
      <w:r w:rsidR="00C12588">
        <w:sym w:font="Symbol" w:char="F0B0"/>
      </w:r>
      <w:r w:rsidR="000B702E">
        <w:t xml:space="preserve"> x 0.</w:t>
      </w:r>
      <w:r w:rsidR="00C12588">
        <w:t>5</w:t>
      </w:r>
      <w:r w:rsidR="00C12588">
        <w:sym w:font="Symbol" w:char="F0B0"/>
      </w:r>
      <w:r w:rsidR="000B702E">
        <w:t xml:space="preserve"> </w:t>
      </w:r>
      <w:r>
        <w:t>simulations from 15 different Terrestrial Biosphere Models at monthly and yearly time steps for the period 1900</w:t>
      </w:r>
      <w:r w:rsidR="000B702E">
        <w:t>-</w:t>
      </w:r>
      <w:r>
        <w:t>2010.</w:t>
      </w:r>
      <w:r w:rsidR="000B702E">
        <w:t xml:space="preserve"> For each model and each pixel within North America, we calculated the mean biomass estimate for the period 1990-2010 for each pixel. We then generated a normal distribution of biomass for each pixel by taking the sample mean and standard deviation across the 15 models. A map of the resulting mean estimates is shown in the top panel of Figure 1.</w:t>
      </w:r>
    </w:p>
    <w:p w14:paraId="0E2E3566" w14:textId="248E221B" w:rsidR="00E14F11" w:rsidRDefault="000B702E" w:rsidP="00C12588">
      <w:pPr>
        <w:ind w:firstLine="720"/>
      </w:pPr>
      <w:r>
        <w:t xml:space="preserve">Second, we obtained estimates of vegetation biomass and moose population density from existing global gridded ensemble simulations of the </w:t>
      </w:r>
      <w:proofErr w:type="spellStart"/>
      <w:r>
        <w:t>Madingley</w:t>
      </w:r>
      <w:proofErr w:type="spellEnd"/>
      <w:r>
        <w:t xml:space="preserve"> model (</w:t>
      </w:r>
      <w:proofErr w:type="spellStart"/>
      <w:r>
        <w:t>Harfoot</w:t>
      </w:r>
      <w:proofErr w:type="spellEnd"/>
      <w:r>
        <w:t xml:space="preserve"> et al. 2014). </w:t>
      </w:r>
      <w:r w:rsidR="00C12588">
        <w:t xml:space="preserve">The ensemble was comprised of six different simulations with varying parameters and initial conditions. </w:t>
      </w:r>
      <w:r w:rsidR="00E14F11">
        <w:t>To get vegetation biomass</w:t>
      </w:r>
      <w:r>
        <w:t xml:space="preserve">, we first extracted the predicted “autotroph biomass density” </w:t>
      </w:r>
      <w:r w:rsidR="00C12588">
        <w:t xml:space="preserve">from each ensemble member </w:t>
      </w:r>
      <w:r>
        <w:t>for each pixel in North Americ</w:t>
      </w:r>
      <w:r w:rsidR="00C12588">
        <w:t>a</w:t>
      </w:r>
      <w:r>
        <w:t xml:space="preserve">. In </w:t>
      </w:r>
      <w:proofErr w:type="spellStart"/>
      <w:r>
        <w:t>Madingley</w:t>
      </w:r>
      <w:proofErr w:type="spellEnd"/>
      <w:r>
        <w:t xml:space="preserve">, this quantity corresponds to the total foliar biomass; to convert to total biomass, we multiplied </w:t>
      </w:r>
      <w:r w:rsidR="00C12588">
        <w:t xml:space="preserve">these values </w:t>
      </w:r>
      <w:r>
        <w:t xml:space="preserve">by 10, </w:t>
      </w:r>
      <w:r w:rsidR="00B53019">
        <w:t>based on allometric relationships between foliar and total biomass in Bond-</w:t>
      </w:r>
      <w:proofErr w:type="spellStart"/>
      <w:r w:rsidR="00B53019">
        <w:t>Lamberty</w:t>
      </w:r>
      <w:proofErr w:type="spellEnd"/>
      <w:r w:rsidR="00B53019">
        <w:t xml:space="preserve"> et al. (2002).</w:t>
      </w:r>
      <w:r w:rsidR="00C12588">
        <w:t xml:space="preserve"> </w:t>
      </w:r>
      <w:r w:rsidR="00E14F11">
        <w:t xml:space="preserve">A map of the resulting mean estimates of vegetation biomass is shown in the middle panel of Figure 1. </w:t>
      </w:r>
      <w:r w:rsidR="00C12588">
        <w:t xml:space="preserve">To </w:t>
      </w:r>
      <w:r w:rsidR="00E14F11">
        <w:t>get</w:t>
      </w:r>
      <w:r w:rsidR="00C12588">
        <w:t xml:space="preserve"> moose density, we first extracted the predicted adult population of each cohort of terrestrial herbivores whose body mass was greater than 400 kg for each pixel. (</w:t>
      </w:r>
      <w:proofErr w:type="spellStart"/>
      <w:r w:rsidR="000235AC">
        <w:t>Madingley</w:t>
      </w:r>
      <w:proofErr w:type="spellEnd"/>
      <w:r w:rsidR="000235AC">
        <w:t xml:space="preserve"> does not differentiate species beyond diet and body mass. </w:t>
      </w:r>
      <w:r w:rsidR="00235036">
        <w:t xml:space="preserve">Our criteria </w:t>
      </w:r>
      <w:r w:rsidR="00EA26E5">
        <w:t>effectively</w:t>
      </w:r>
      <w:r w:rsidR="00235036">
        <w:t xml:space="preserve"> exclude</w:t>
      </w:r>
      <w:r w:rsidR="00EA26E5">
        <w:t xml:space="preserve"> the other two largest wild herbivores in North America:</w:t>
      </w:r>
      <w:r w:rsidR="000235AC">
        <w:t xml:space="preserve"> </w:t>
      </w:r>
      <w:r w:rsidR="00EA26E5">
        <w:t>W</w:t>
      </w:r>
      <w:r w:rsidR="000235AC">
        <w:t>hite-tailed deer [</w:t>
      </w:r>
      <w:r w:rsidR="000235AC">
        <w:rPr>
          <w:i/>
          <w:iCs/>
        </w:rPr>
        <w:t>Odocoileus virginianus</w:t>
      </w:r>
      <w:r w:rsidR="000235AC">
        <w:t>]</w:t>
      </w:r>
      <w:r w:rsidR="00235036">
        <w:t>—whose adult mass</w:t>
      </w:r>
      <w:r w:rsidR="000235AC">
        <w:t xml:space="preserve"> is typically less than 200 kg</w:t>
      </w:r>
      <w:r w:rsidR="00235036">
        <w:t xml:space="preserve">—and most subspecies of elk </w:t>
      </w:r>
      <w:r w:rsidR="000235AC">
        <w:t>[</w:t>
      </w:r>
      <w:r w:rsidR="000235AC">
        <w:rPr>
          <w:i/>
          <w:iCs/>
        </w:rPr>
        <w:t>Cervus canadensis</w:t>
      </w:r>
      <w:r w:rsidR="00235036">
        <w:t xml:space="preserve">]—whose adult mass is typically less that 350 kg. </w:t>
      </w:r>
      <w:r w:rsidR="00E14F11">
        <w:t>Adult mass of</w:t>
      </w:r>
      <w:r w:rsidR="00235036">
        <w:t xml:space="preserve"> Roosevelt elk [</w:t>
      </w:r>
      <w:r w:rsidR="00235036" w:rsidRPr="00235036">
        <w:rPr>
          <w:i/>
          <w:iCs/>
        </w:rPr>
        <w:t xml:space="preserve">C. canadensis </w:t>
      </w:r>
      <w:proofErr w:type="spellStart"/>
      <w:r w:rsidR="00235036" w:rsidRPr="00235036">
        <w:rPr>
          <w:i/>
          <w:iCs/>
        </w:rPr>
        <w:t>roosevelti</w:t>
      </w:r>
      <w:proofErr w:type="spellEnd"/>
      <w:r w:rsidR="00235036">
        <w:t>] can reach as high as 600 kg</w:t>
      </w:r>
      <w:r w:rsidR="00E14F11">
        <w:t xml:space="preserve">, but their </w:t>
      </w:r>
      <w:r w:rsidR="00235036">
        <w:t>geographic extent is relatively limited</w:t>
      </w:r>
      <w:r w:rsidR="00E14F11">
        <w:t xml:space="preserve"> compared to </w:t>
      </w:r>
      <w:commentRangeStart w:id="0"/>
      <w:r w:rsidR="00E14F11">
        <w:t>moose</w:t>
      </w:r>
      <w:commentRangeEnd w:id="0"/>
      <w:r w:rsidR="00EA26E5">
        <w:rPr>
          <w:rStyle w:val="CommentReference"/>
        </w:rPr>
        <w:commentReference w:id="0"/>
      </w:r>
      <w:r w:rsidR="00C12588">
        <w:t xml:space="preserve">). We then calculated the </w:t>
      </w:r>
      <w:r w:rsidR="00235036">
        <w:t xml:space="preserve">population </w:t>
      </w:r>
      <w:r w:rsidR="00C12588">
        <w:t>density within each pixel</w:t>
      </w:r>
      <w:r w:rsidR="00235036">
        <w:t xml:space="preserve"> by taking the sum of the populations of all cohorts meeting the criteria above and dividing by the area of each pixel.</w:t>
      </w:r>
      <w:r w:rsidR="00E14F11">
        <w:t xml:space="preserve"> A map of the resulting mean estimates of moose density is shown in the middle panel of Figure 2.</w:t>
      </w:r>
    </w:p>
    <w:p w14:paraId="4011411C" w14:textId="77777777" w:rsidR="003C2B48" w:rsidRDefault="00E14F11" w:rsidP="003C2B48">
      <w:pPr>
        <w:ind w:firstLine="720"/>
      </w:pPr>
      <w:r>
        <w:t xml:space="preserve">Finally, we obtained a separate gridded estimate of moose density from </w:t>
      </w:r>
      <w:r w:rsidRPr="00D639AB">
        <w:rPr>
          <w:highlight w:val="yellow"/>
        </w:rPr>
        <w:t>XXX</w:t>
      </w:r>
      <w:r>
        <w:t xml:space="preserve">. </w:t>
      </w:r>
      <w:r w:rsidR="00D639AB">
        <w:t xml:space="preserve">We first converted this shapefile of moose density to a raster matching the grid of the above using the `rasterize` function in the R package `raster` </w:t>
      </w:r>
      <w:r w:rsidR="00740B15">
        <w:t>(</w:t>
      </w:r>
      <w:proofErr w:type="spellStart"/>
      <w:r w:rsidR="00740B15">
        <w:t>Hijmans</w:t>
      </w:r>
      <w:proofErr w:type="spellEnd"/>
      <w:r w:rsidR="00740B15">
        <w:t xml:space="preserve"> 2020). This dataset did not come with uncertainty estimates, so we assumed a uniform relative standard deviation of 10% of the stated value for every pixel.</w:t>
      </w:r>
    </w:p>
    <w:p w14:paraId="4C0F17DF" w14:textId="77777777" w:rsidR="004921A8" w:rsidRDefault="003C2B48" w:rsidP="003C2B48">
      <w:pPr>
        <w:pStyle w:val="Heading2"/>
      </w:pPr>
      <w:r>
        <w:t>Analysis</w:t>
      </w:r>
    </w:p>
    <w:p w14:paraId="6F84097C" w14:textId="38F2FFBD" w:rsidR="004921A8" w:rsidRDefault="004921A8" w:rsidP="004921A8">
      <w:r>
        <w:tab/>
        <w:t xml:space="preserve">For each of the four datasets above—vegetation biomass from </w:t>
      </w:r>
      <w:proofErr w:type="spellStart"/>
      <w:r>
        <w:t>MstMIP</w:t>
      </w:r>
      <w:proofErr w:type="spellEnd"/>
      <w:r>
        <w:t xml:space="preserve"> and </w:t>
      </w:r>
      <w:proofErr w:type="spellStart"/>
      <w:r>
        <w:t>Madingley</w:t>
      </w:r>
      <w:proofErr w:type="spellEnd"/>
      <w:r>
        <w:t xml:space="preserve">, and moose density from </w:t>
      </w:r>
      <w:proofErr w:type="spellStart"/>
      <w:r>
        <w:t>Madingley</w:t>
      </w:r>
      <w:proofErr w:type="spellEnd"/>
      <w:r>
        <w:t xml:space="preserve"> and </w:t>
      </w:r>
      <w:r w:rsidRPr="004921A8">
        <w:rPr>
          <w:highlight w:val="yellow"/>
        </w:rPr>
        <w:t>XXX</w:t>
      </w:r>
      <w:r>
        <w:t xml:space="preserve">—we have </w:t>
      </w:r>
      <w:proofErr w:type="spellStart"/>
      <w:r>
        <w:t>rasters</w:t>
      </w:r>
      <w:proofErr w:type="spellEnd"/>
      <w:r>
        <w:t xml:space="preserve"> of means and standard </w:t>
      </w:r>
      <w:r>
        <w:lastRenderedPageBreak/>
        <w:t xml:space="preserve">deviations from each pixel. The mean </w:t>
      </w:r>
      <w:proofErr w:type="spellStart"/>
      <w:r>
        <w:t>rasters</w:t>
      </w:r>
      <w:proofErr w:type="spellEnd"/>
      <w:r>
        <w:t xml:space="preserve"> are shown in the top two panels of Figures 1 and 2. For an initial evaluation of agreement between these estimates, we calculated the probability of overlap of the corresponding distributions as follows: For each pixel and each variable, we calculated the minimum of the corresponding probability density function at every point and numerically integrated the resulting values over all regions of non-trivial probability density</w:t>
      </w:r>
      <w:r w:rsidR="00E9446E">
        <w:t>:</w:t>
      </w:r>
    </w:p>
    <w:p w14:paraId="3294E7B7" w14:textId="02819B1F" w:rsidR="004921A8" w:rsidRPr="004921A8" w:rsidRDefault="004921A8" w:rsidP="004921A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d>
        </m:oMath>
      </m:oMathPara>
    </w:p>
    <w:p w14:paraId="3CFAFEFF" w14:textId="36F9CC82" w:rsidR="004921A8" w:rsidRPr="00E9446E" w:rsidRDefault="00E9446E" w:rsidP="004921A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overlap</m:t>
              </m:r>
              <m:r>
                <w:rPr>
                  <w:rFonts w:ascii="Cambria Math" w:eastAsiaTheme="minorEastAsia" w:hAnsi="Cambria Math"/>
                </w:rPr>
                <m:t>|x</m:t>
              </m:r>
            </m:e>
          </m:d>
          <m:r>
            <w:rPr>
              <w:rFonts w:ascii="Cambria Math" w:eastAsiaTheme="minorEastAsia" w:hAnsi="Cambria Math"/>
            </w:rPr>
            <m:t xml:space="preserve">= </m:t>
          </m:r>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r>
                <w:rPr>
                  <w:rFonts w:ascii="Cambria Math" w:eastAsiaTheme="minorEastAsia" w:hAnsi="Cambria Math"/>
                </w:rPr>
                <m:t>, N</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d>
            </m:e>
          </m:d>
        </m:oMath>
      </m:oMathPara>
    </w:p>
    <w:p w14:paraId="49B7D309" w14:textId="5D49C3E2" w:rsidR="00C12588" w:rsidRPr="00E9446E" w:rsidRDefault="00E9446E" w:rsidP="004921A8">
      <w:pPr>
        <w:rPr>
          <w:rFonts w:eastAsiaTheme="minorEastAsia"/>
          <w:i/>
        </w:rPr>
      </w:pPr>
      <m:oMathPara>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overlap</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overlap</m:t>
                  </m:r>
                </m:e>
                <m:e>
                  <m:r>
                    <w:rPr>
                      <w:rFonts w:ascii="Cambria Math" w:eastAsiaTheme="minorEastAsia" w:hAnsi="Cambria Math"/>
                    </w:rPr>
                    <m:t>x</m:t>
                  </m:r>
                </m:e>
              </m:d>
              <m:r>
                <w:rPr>
                  <w:rFonts w:ascii="Cambria Math" w:eastAsiaTheme="minorEastAsia" w:hAnsi="Cambria Math"/>
                </w:rPr>
                <m:t xml:space="preserve"> dx</m:t>
              </m:r>
            </m:e>
          </m:nary>
        </m:oMath>
      </m:oMathPara>
    </w:p>
    <w:p w14:paraId="045FAD6C" w14:textId="658CA8D4" w:rsidR="00CA7873" w:rsidRDefault="00E9446E" w:rsidP="004921A8">
      <w:pPr>
        <w:rPr>
          <w:rFonts w:eastAsiaTheme="minorEastAsia"/>
          <w:iCs/>
        </w:rPr>
      </w:pPr>
      <w:r>
        <w:rPr>
          <w:rFonts w:eastAsiaTheme="minorEastAsia"/>
          <w:iCs/>
        </w:rPr>
        <w:t>The resulting gridded estimates of overlap for vegetation biomass and moose density are shown in the bottom panels of Figures 1 and 2, respectively.</w:t>
      </w:r>
    </w:p>
    <w:p w14:paraId="349308C6" w14:textId="77A85EC6" w:rsidR="00B31FBB" w:rsidRDefault="00B31FBB" w:rsidP="004921A8">
      <w:pPr>
        <w:rPr>
          <w:rFonts w:eastAsiaTheme="minorEastAsia"/>
          <w:iCs/>
        </w:rPr>
      </w:pPr>
      <w:r>
        <w:rPr>
          <w:rFonts w:eastAsiaTheme="minorEastAsia"/>
          <w:iCs/>
        </w:rPr>
        <w:tab/>
        <w:t>We performed two different kinds of constraint on the output variables: A univariate constraint where moose density and biomass were each constrained independently of one another, and a multivariate constraint whereby they were constrained jointly. In the univariate constraint, because we assume both variables are normally distributed, we can analytically calculate the best estimate of each variable</w:t>
      </w:r>
      <w:r w:rsidR="000949A2">
        <w:rPr>
          <w:rFonts w:eastAsiaTheme="minorEastAsia"/>
          <w:iCs/>
        </w:rPr>
        <w:t xml:space="preserve"> (</w:t>
      </w:r>
      <w:proofErr w:type="spellStart"/>
      <w:r w:rsidR="000949A2" w:rsidRPr="000949A2">
        <w:rPr>
          <w:rFonts w:eastAsiaTheme="minorEastAsia"/>
          <w:i/>
        </w:rPr>
        <w:t>X</w:t>
      </w:r>
      <w:r w:rsidR="000949A2" w:rsidRPr="000949A2">
        <w:rPr>
          <w:rFonts w:eastAsiaTheme="minorEastAsia"/>
          <w:i/>
          <w:vertAlign w:val="subscript"/>
        </w:rPr>
        <w:t>best</w:t>
      </w:r>
      <w:proofErr w:type="spellEnd"/>
      <w:r w:rsidR="000949A2">
        <w:rPr>
          <w:rFonts w:eastAsiaTheme="minorEastAsia"/>
          <w:iCs/>
        </w:rPr>
        <w:t>)</w:t>
      </w:r>
      <w:r>
        <w:rPr>
          <w:rFonts w:eastAsiaTheme="minorEastAsia"/>
          <w:iCs/>
        </w:rPr>
        <w:t xml:space="preserve"> </w:t>
      </w:r>
      <w:r w:rsidR="000949A2">
        <w:rPr>
          <w:rFonts w:eastAsiaTheme="minorEastAsia"/>
          <w:iCs/>
        </w:rPr>
        <w:t>from</w:t>
      </w:r>
      <w:r>
        <w:rPr>
          <w:rFonts w:eastAsiaTheme="minorEastAsia"/>
          <w:iCs/>
        </w:rPr>
        <w:t xml:space="preserve"> the distributions of </w:t>
      </w:r>
      <w:r w:rsidR="000949A2">
        <w:rPr>
          <w:rFonts w:eastAsiaTheme="minorEastAsia"/>
          <w:iCs/>
        </w:rPr>
        <w:t>its estimates</w:t>
      </w:r>
      <w:r>
        <w:rPr>
          <w:rFonts w:eastAsiaTheme="minorEastAsia"/>
          <w:iCs/>
        </w:rPr>
        <w:t>:</w:t>
      </w:r>
    </w:p>
    <w:p w14:paraId="7F1C8C8A" w14:textId="4128AD6F" w:rsidR="000949A2" w:rsidRPr="000949A2" w:rsidRDefault="000949A2" w:rsidP="004921A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best</m:t>
              </m:r>
            </m:sub>
          </m:sSub>
          <m:r>
            <w:rPr>
              <w:rFonts w:ascii="Cambria Math" w:eastAsiaTheme="minorEastAsia" w:hAnsi="Cambria Math"/>
            </w:rPr>
            <m:t>~N(</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best</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best</m:t>
              </m:r>
            </m:sub>
          </m:sSub>
          <m:r>
            <w:rPr>
              <w:rFonts w:ascii="Cambria Math" w:eastAsiaTheme="minorEastAsia" w:hAnsi="Cambria Math"/>
            </w:rPr>
            <m:t>)</m:t>
          </m:r>
        </m:oMath>
      </m:oMathPara>
    </w:p>
    <w:p w14:paraId="3E40FF7A" w14:textId="044BD046" w:rsidR="00B31FBB" w:rsidRPr="000949A2" w:rsidRDefault="000949A2" w:rsidP="004921A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best</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2</m:t>
                  </m:r>
                </m:sub>
              </m:sSub>
            </m:num>
            <m:den>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2</m:t>
                  </m:r>
                </m:sub>
              </m:sSub>
            </m:den>
          </m:f>
        </m:oMath>
      </m:oMathPara>
    </w:p>
    <w:p w14:paraId="6B81B451" w14:textId="5640C4F3" w:rsidR="000949A2" w:rsidRPr="000949A2" w:rsidRDefault="000949A2" w:rsidP="004921A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best</m:t>
              </m:r>
            </m:sub>
          </m:sSub>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best</m:t>
                      </m:r>
                    </m:sub>
                  </m:sSub>
                </m:den>
              </m:f>
            </m:e>
          </m:rad>
        </m:oMath>
      </m:oMathPara>
    </w:p>
    <w:p w14:paraId="0DD08648" w14:textId="79A8384C" w:rsidR="000949A2" w:rsidRPr="000949A2" w:rsidRDefault="000949A2" w:rsidP="004921A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best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2</m:t>
              </m:r>
            </m:sub>
          </m:sSub>
        </m:oMath>
      </m:oMathPara>
    </w:p>
    <w:p w14:paraId="4584B48B" w14:textId="5FC8D890" w:rsidR="000949A2" w:rsidRDefault="000949A2" w:rsidP="004921A8">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oMath>
      </m:oMathPara>
    </w:p>
    <w:p w14:paraId="32395648" w14:textId="7368706D" w:rsidR="00F615ED" w:rsidRDefault="00F615ED" w:rsidP="004921A8">
      <w:pPr>
        <w:rPr>
          <w:rFonts w:eastAsiaTheme="minorEastAsia"/>
          <w:iCs/>
        </w:rPr>
      </w:pPr>
      <w:r>
        <w:rPr>
          <w:rFonts w:eastAsiaTheme="minorEastAsia"/>
          <w:iCs/>
        </w:rPr>
        <w:t>The results of the independent univariate constraints on each variable are shown in Figure 3.</w:t>
      </w:r>
      <w:r w:rsidR="00E9446E">
        <w:rPr>
          <w:rFonts w:eastAsiaTheme="minorEastAsia"/>
          <w:iCs/>
        </w:rPr>
        <w:tab/>
      </w:r>
    </w:p>
    <w:p w14:paraId="49AB2539" w14:textId="4122F12C" w:rsidR="009D37DB" w:rsidRPr="00A01799" w:rsidRDefault="00F615ED" w:rsidP="00F615ED">
      <w:pPr>
        <w:ind w:firstLine="720"/>
        <w:rPr>
          <w:rFonts w:eastAsiaTheme="minorEastAsia"/>
          <w:iCs/>
        </w:rPr>
      </w:pPr>
      <w:r>
        <w:rPr>
          <w:rFonts w:eastAsiaTheme="minorEastAsia"/>
          <w:iCs/>
        </w:rPr>
        <w:t>T</w:t>
      </w:r>
      <w:r w:rsidR="009D37DB">
        <w:rPr>
          <w:rFonts w:eastAsiaTheme="minorEastAsia"/>
          <w:iCs/>
        </w:rPr>
        <w:t xml:space="preserve">he multivariate distribution of </w:t>
      </w:r>
      <w:proofErr w:type="spellStart"/>
      <w:r w:rsidR="009D37DB">
        <w:rPr>
          <w:rFonts w:eastAsiaTheme="minorEastAsia"/>
          <w:iCs/>
        </w:rPr>
        <w:t>Madingley</w:t>
      </w:r>
      <w:proofErr w:type="spellEnd"/>
      <w:r w:rsidR="009D37DB">
        <w:rPr>
          <w:rFonts w:eastAsiaTheme="minorEastAsia"/>
          <w:iCs/>
        </w:rPr>
        <w:t xml:space="preserve"> ensemble members was not well approximated by a multivariate normal</w:t>
      </w:r>
      <w:r>
        <w:rPr>
          <w:rFonts w:eastAsiaTheme="minorEastAsia"/>
          <w:iCs/>
        </w:rPr>
        <w:t xml:space="preserve"> distribution. Therefore, we performed this constraint numerically, by weighting each </w:t>
      </w:r>
      <w:proofErr w:type="spellStart"/>
      <w:r>
        <w:rPr>
          <w:rFonts w:eastAsiaTheme="minorEastAsia"/>
          <w:iCs/>
        </w:rPr>
        <w:t>Madingley</w:t>
      </w:r>
      <w:proofErr w:type="spellEnd"/>
      <w:r>
        <w:rPr>
          <w:rFonts w:eastAsiaTheme="minorEastAsia"/>
          <w:iCs/>
        </w:rPr>
        <w:t xml:space="preserve"> ensemble member according to its agreement with </w:t>
      </w:r>
      <w:proofErr w:type="spellStart"/>
      <w:r>
        <w:rPr>
          <w:rFonts w:eastAsiaTheme="minorEastAsia"/>
          <w:iCs/>
        </w:rPr>
        <w:t>MstMIP</w:t>
      </w:r>
      <w:proofErr w:type="spellEnd"/>
      <w:r>
        <w:rPr>
          <w:rFonts w:eastAsiaTheme="minorEastAsia"/>
          <w:iCs/>
        </w:rPr>
        <w:t xml:space="preserve"> vegetation biomass and observed moose density</w:t>
      </w:r>
      <w:r w:rsidR="00A01799">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m:t>
            </m:r>
          </m:sub>
        </m:sSub>
      </m:oMath>
      <w:r w:rsidR="00A01799">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sub>
        </m:sSub>
      </m:oMath>
      <w:r w:rsidR="00A01799">
        <w:rPr>
          <w:rFonts w:eastAsiaTheme="minorEastAsia"/>
          <w:iCs/>
        </w:rPr>
        <w:t xml:space="preserve"> be the estimates of moose density and biomass, respectively, by </w:t>
      </w:r>
      <w:proofErr w:type="spellStart"/>
      <w:r w:rsidR="00A01799">
        <w:rPr>
          <w:rFonts w:eastAsiaTheme="minorEastAsia"/>
          <w:iCs/>
        </w:rPr>
        <w:t>Madingley</w:t>
      </w:r>
      <w:proofErr w:type="spellEnd"/>
      <w:r w:rsidR="00A01799">
        <w:rPr>
          <w:rFonts w:eastAsiaTheme="minorEastAsia"/>
          <w:iCs/>
        </w:rPr>
        <w:t xml:space="preserve"> ensemble member </w:t>
      </w:r>
      <m:oMath>
        <m:r>
          <w:rPr>
            <w:rFonts w:ascii="Cambria Math" w:eastAsiaTheme="minorEastAsia" w:hAnsi="Cambria Math"/>
          </w:rPr>
          <m:t>i</m:t>
        </m:r>
      </m:oMath>
      <w:r w:rsidR="00A01799">
        <w:rPr>
          <w:rFonts w:eastAsiaTheme="minorEastAsia"/>
          <w:iCs/>
        </w:rPr>
        <w:t xml:space="preserve">. Also, let </w:t>
      </w: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b</m:t>
            </m:r>
          </m:sub>
        </m:sSub>
      </m:oMath>
      <w:r w:rsidR="00A01799">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b</m:t>
            </m:r>
          </m:sub>
        </m:sSub>
      </m:oMath>
      <w:r w:rsidR="00A01799">
        <w:rPr>
          <w:rFonts w:eastAsiaTheme="minorEastAsia"/>
          <w:iCs/>
        </w:rPr>
        <w:t xml:space="preserve"> be the mean and standard deviation of the distribution of </w:t>
      </w:r>
      <w:proofErr w:type="spellStart"/>
      <w:r w:rsidR="00A01799">
        <w:rPr>
          <w:rFonts w:eastAsiaTheme="minorEastAsia"/>
          <w:iCs/>
        </w:rPr>
        <w:t>MstMIP</w:t>
      </w:r>
      <w:proofErr w:type="spellEnd"/>
      <w:r w:rsidR="00A01799">
        <w:rPr>
          <w:rFonts w:eastAsiaTheme="minorEastAsia"/>
          <w:iCs/>
        </w:rPr>
        <w:t xml:space="preserve"> biomass estimates, </w:t>
      </w: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d</m:t>
            </m:r>
          </m:sub>
        </m:sSub>
      </m:oMath>
      <w:r w:rsidR="00A01799">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d</m:t>
            </m:r>
          </m:sub>
        </m:sSub>
      </m:oMath>
      <w:r w:rsidR="00A01799">
        <w:rPr>
          <w:rFonts w:eastAsiaTheme="minorEastAsia"/>
          <w:iCs/>
        </w:rPr>
        <w:t xml:space="preserve"> be the analogous quantities for observed moose biomass</w:t>
      </w:r>
      <w:r w:rsidR="005B6B02">
        <w:rPr>
          <w:rFonts w:eastAsiaTheme="minorEastAsia"/>
          <w:iCs/>
        </w:rPr>
        <w:t xml:space="preserve">, and </w:t>
      </w:r>
      <m:oMath>
        <m:r>
          <w:rPr>
            <w:rFonts w:ascii="Cambria Math" w:eastAsiaTheme="minorEastAsia" w:hAnsi="Cambria Math"/>
          </w:rPr>
          <m:t>n</m:t>
        </m:r>
      </m:oMath>
      <w:r w:rsidR="005B6B02">
        <w:rPr>
          <w:rFonts w:eastAsiaTheme="minorEastAsia"/>
          <w:iCs/>
        </w:rPr>
        <w:t xml:space="preserve"> be the number of </w:t>
      </w:r>
      <w:proofErr w:type="spellStart"/>
      <w:r w:rsidR="005B6B02">
        <w:rPr>
          <w:rFonts w:eastAsiaTheme="minorEastAsia"/>
          <w:iCs/>
        </w:rPr>
        <w:t>Madingley</w:t>
      </w:r>
      <w:proofErr w:type="spellEnd"/>
      <w:r w:rsidR="005B6B02">
        <w:rPr>
          <w:rFonts w:eastAsiaTheme="minorEastAsia"/>
          <w:iCs/>
        </w:rPr>
        <w:t xml:space="preserve"> ensemble members</w:t>
      </w:r>
      <w:r w:rsidR="00A01799">
        <w:rPr>
          <w:rFonts w:eastAsiaTheme="minorEastAsia"/>
          <w:iCs/>
        </w:rPr>
        <w:t xml:space="preserve">. The probability </w:t>
      </w:r>
      <m:oMath>
        <m:r>
          <w:rPr>
            <w:rFonts w:ascii="Cambria Math" w:eastAsiaTheme="minorEastAsia" w:hAnsi="Cambria Math"/>
          </w:rPr>
          <m:t>P(i)</m:t>
        </m:r>
      </m:oMath>
      <w:r w:rsidR="00A01799">
        <w:rPr>
          <w:rFonts w:eastAsiaTheme="minorEastAsia"/>
          <w:iCs/>
        </w:rPr>
        <w:t xml:space="preserve"> of </w:t>
      </w:r>
      <w:proofErr w:type="spellStart"/>
      <w:r w:rsidR="00A01799">
        <w:rPr>
          <w:rFonts w:eastAsiaTheme="minorEastAsia"/>
          <w:iCs/>
        </w:rPr>
        <w:t>Madingley</w:t>
      </w:r>
      <w:proofErr w:type="spellEnd"/>
      <w:r w:rsidR="00A01799">
        <w:rPr>
          <w:rFonts w:eastAsiaTheme="minorEastAsia"/>
          <w:iCs/>
        </w:rPr>
        <w:t xml:space="preserve"> ensemble member </w:t>
      </w:r>
      <m:oMath>
        <m:r>
          <w:rPr>
            <w:rFonts w:ascii="Cambria Math" w:eastAsiaTheme="minorEastAsia" w:hAnsi="Cambria Math"/>
          </w:rPr>
          <m:t>i</m:t>
        </m:r>
      </m:oMath>
      <w:r w:rsidR="00A01799">
        <w:rPr>
          <w:rFonts w:eastAsiaTheme="minorEastAsia"/>
          <w:iCs/>
        </w:rPr>
        <w:t xml:space="preserve"> is therefore given by:</w:t>
      </w:r>
    </w:p>
    <w:p w14:paraId="26180483" w14:textId="43C83E2A" w:rsidR="005B6B02" w:rsidRPr="00A01799" w:rsidRDefault="00A01799" w:rsidP="005B6B02">
      <w:pPr>
        <w:ind w:firstLine="72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m:t>
              </m:r>
            </m:e>
          </m:d>
          <m:r>
            <w:rPr>
              <w:rFonts w:ascii="Cambria Math" w:eastAsiaTheme="minorEastAsia" w:hAnsi="Cambria Math"/>
            </w:rPr>
            <m:t>=N</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d</m:t>
                  </m:r>
                </m:sub>
              </m:sSub>
            </m:e>
          </m:d>
          <m:r>
            <w:rPr>
              <w:rFonts w:ascii="Cambria Math" w:eastAsiaTheme="minorEastAsia" w:hAnsi="Cambria Math"/>
            </w:rPr>
            <m:t xml:space="preserve"> N</m:t>
          </m:r>
          <m:d>
            <m:dPr>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m:t>
          </m:r>
        </m:oMath>
      </m:oMathPara>
    </w:p>
    <w:p w14:paraId="2784193E" w14:textId="636CFDCC" w:rsidR="00A01799" w:rsidRDefault="00A01799" w:rsidP="00A01799">
      <w:pPr>
        <w:rPr>
          <w:rFonts w:eastAsiaTheme="minorEastAsia"/>
          <w:iCs/>
        </w:rPr>
      </w:pPr>
      <w:r>
        <w:rPr>
          <w:rFonts w:eastAsiaTheme="minorEastAsia"/>
          <w:iCs/>
        </w:rPr>
        <w:t xml:space="preserve">We define the weight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iCs/>
        </w:rPr>
        <w:t xml:space="preserve"> of each ensemble member as the normalized probability:</w:t>
      </w:r>
    </w:p>
    <w:p w14:paraId="675173BE" w14:textId="5D8F45A7" w:rsidR="00A01799" w:rsidRPr="00A01799" w:rsidRDefault="00A01799" w:rsidP="00A01799">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i</m:t>
                  </m:r>
                </m:e>
              </m:d>
            </m:num>
            <m:den>
              <m:nary>
                <m:naryPr>
                  <m:chr m:val="∑"/>
                  <m:limLoc m:val="undOvr"/>
                  <m:ctrlPr>
                    <w:rPr>
                      <w:rFonts w:ascii="Cambria Math" w:eastAsiaTheme="minorEastAsia" w:hAnsi="Cambria Math"/>
                      <w:i/>
                      <w:iCs/>
                    </w:rPr>
                  </m:ctrlPr>
                </m:naryPr>
                <m:sub>
                  <m:r>
                    <w:rPr>
                      <w:rFonts w:ascii="Cambria Math" w:eastAsiaTheme="minorEastAsia" w:hAnsi="Cambria Math"/>
                    </w:rPr>
                    <m:t>i</m:t>
                  </m:r>
                </m:sub>
                <m:sup>
                  <m:r>
                    <w:rPr>
                      <w:rFonts w:ascii="Cambria Math" w:eastAsiaTheme="minorEastAsia" w:hAnsi="Cambria Math"/>
                    </w:rPr>
                    <m:t>n</m:t>
                  </m:r>
                </m:sup>
                <m:e>
                  <m:r>
                    <w:rPr>
                      <w:rFonts w:ascii="Cambria Math" w:eastAsiaTheme="minorEastAsia" w:hAnsi="Cambria Math"/>
                    </w:rPr>
                    <m:t>P(i)</m:t>
                  </m:r>
                </m:e>
              </m:nary>
            </m:den>
          </m:f>
        </m:oMath>
      </m:oMathPara>
    </w:p>
    <w:p w14:paraId="649298A0" w14:textId="66112B7A" w:rsidR="005B6B02" w:rsidRDefault="005B6B02" w:rsidP="005B6B02">
      <w:pPr>
        <w:rPr>
          <w:rFonts w:eastAsiaTheme="minorEastAsia"/>
          <w:iCs/>
        </w:rPr>
      </w:pPr>
      <w:r>
        <w:rPr>
          <w:rFonts w:eastAsiaTheme="minorEastAsia"/>
          <w:iCs/>
        </w:rPr>
        <w:t>Based on these quantities, we can calculate the jointly constrained distribution of biomass as:</w:t>
      </w:r>
    </w:p>
    <w:p w14:paraId="072B178C" w14:textId="16A15E60" w:rsidR="005B6B02" w:rsidRPr="005B6B02" w:rsidRDefault="005B6B02" w:rsidP="005B6B02">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μ</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sub>
              </m:sSub>
            </m:e>
          </m:nary>
        </m:oMath>
      </m:oMathPara>
    </w:p>
    <w:p w14:paraId="5650DFE8" w14:textId="080B9C28" w:rsidR="005B6B02" w:rsidRDefault="005B6B02" w:rsidP="005B6B02">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rad>
            <m:radPr>
              <m:degHide m:val="1"/>
              <m:ctrlPr>
                <w:rPr>
                  <w:rFonts w:ascii="Cambria Math" w:eastAsiaTheme="minorEastAsia" w:hAnsi="Cambria Math"/>
                  <w:i/>
                  <w:iCs/>
                </w:rPr>
              </m:ctrlPr>
            </m:radPr>
            <m:deg/>
            <m:e>
              <m:nary>
                <m:naryPr>
                  <m:chr m:val="∑"/>
                  <m:limLoc m:val="undOvr"/>
                  <m:ctrlPr>
                    <w:rPr>
                      <w:rFonts w:ascii="Cambria Math" w:eastAsiaTheme="minorEastAsia" w:hAnsi="Cambria Math"/>
                      <w:i/>
                      <w:iCs/>
                    </w:rPr>
                  </m:ctrlPr>
                </m:naryPr>
                <m:sub>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μ</m:t>
                              </m:r>
                            </m:e>
                            <m:sub>
                              <m:r>
                                <w:rPr>
                                  <w:rFonts w:ascii="Cambria Math" w:eastAsiaTheme="minorEastAsia" w:hAnsi="Cambria Math"/>
                                </w:rPr>
                                <m:t>b</m:t>
                              </m:r>
                            </m:sub>
                            <m:sup>
                              <m:r>
                                <w:rPr>
                                  <w:rFonts w:ascii="Cambria Math" w:eastAsiaTheme="minorEastAsia" w:hAnsi="Cambria Math"/>
                                </w:rPr>
                                <m:t>*</m:t>
                              </m:r>
                            </m:sup>
                          </m:sSubSup>
                        </m:e>
                      </m:d>
                    </m:e>
                    <m:sup>
                      <m:r>
                        <w:rPr>
                          <w:rFonts w:ascii="Cambria Math" w:eastAsiaTheme="minorEastAsia" w:hAnsi="Cambria Math"/>
                        </w:rPr>
                        <m:t>2</m:t>
                      </m:r>
                    </m:sup>
                  </m:sSup>
                </m:e>
              </m:nary>
            </m:e>
          </m:rad>
        </m:oMath>
      </m:oMathPara>
    </w:p>
    <w:p w14:paraId="00AB8E37" w14:textId="619BCFCE" w:rsidR="005B6B02" w:rsidRDefault="005B6B02" w:rsidP="005B6B02">
      <w:pPr>
        <w:rPr>
          <w:rFonts w:eastAsiaTheme="minorEastAsia"/>
          <w:iCs/>
        </w:rPr>
      </w:pPr>
      <w:r>
        <w:rPr>
          <w:rFonts w:eastAsiaTheme="minorEastAsia"/>
          <w:iCs/>
        </w:rPr>
        <w:t>Analogous equations can be used for moose density.</w:t>
      </w:r>
    </w:p>
    <w:p w14:paraId="032BC74D" w14:textId="53F29BE9" w:rsidR="00CA7873" w:rsidRDefault="00E9446E" w:rsidP="00CA7873">
      <w:pPr>
        <w:ind w:firstLine="720"/>
        <w:rPr>
          <w:rFonts w:eastAsiaTheme="minorEastAsia"/>
          <w:iCs/>
        </w:rPr>
      </w:pPr>
      <w:r>
        <w:rPr>
          <w:rFonts w:eastAsiaTheme="minorEastAsia"/>
          <w:iCs/>
        </w:rPr>
        <w:t xml:space="preserve">For the joint constraint to produce meaningful and useful results, the distributions of the underlying variables need to have non-trivial overlap for both variables of interest. While this was often true for vegetation biomass (Figure 1), overlap in moose density estimates </w:t>
      </w:r>
      <w:r w:rsidR="009645B5">
        <w:rPr>
          <w:rFonts w:eastAsiaTheme="minorEastAsia"/>
          <w:iCs/>
        </w:rPr>
        <w:t>was poor in all but a few specific locations (Figure 2)</w:t>
      </w:r>
      <w:r w:rsidR="00CA7873">
        <w:rPr>
          <w:rFonts w:eastAsiaTheme="minorEastAsia"/>
          <w:iCs/>
        </w:rPr>
        <w:t>, resulting in poor joint constraint results in most places.</w:t>
      </w:r>
      <w:r w:rsidR="009645B5">
        <w:rPr>
          <w:rFonts w:eastAsiaTheme="minorEastAsia"/>
          <w:iCs/>
        </w:rPr>
        <w:t xml:space="preserve"> Therefore, </w:t>
      </w:r>
      <w:r w:rsidR="00B31FBB">
        <w:rPr>
          <w:rFonts w:eastAsiaTheme="minorEastAsia"/>
          <w:iCs/>
        </w:rPr>
        <w:t xml:space="preserve">we </w:t>
      </w:r>
      <w:r w:rsidR="00CA7873">
        <w:rPr>
          <w:rFonts w:eastAsiaTheme="minorEastAsia"/>
          <w:iCs/>
        </w:rPr>
        <w:t>show</w:t>
      </w:r>
      <w:r w:rsidR="00B31FBB">
        <w:rPr>
          <w:rFonts w:eastAsiaTheme="minorEastAsia"/>
          <w:iCs/>
        </w:rPr>
        <w:t xml:space="preserve"> the joint constraint analysis </w:t>
      </w:r>
      <w:r w:rsidR="00CA7873">
        <w:rPr>
          <w:rFonts w:eastAsiaTheme="minorEastAsia"/>
          <w:iCs/>
        </w:rPr>
        <w:t>described above for</w:t>
      </w:r>
      <w:r w:rsidR="00B31FBB">
        <w:rPr>
          <w:rFonts w:eastAsiaTheme="minorEastAsia"/>
          <w:iCs/>
        </w:rPr>
        <w:t xml:space="preserve"> one specific pixel.</w:t>
      </w:r>
    </w:p>
    <w:p w14:paraId="33094738" w14:textId="6E28CFD7" w:rsidR="00CA7873" w:rsidRDefault="00CA7873" w:rsidP="00CA7873">
      <w:pPr>
        <w:ind w:firstLine="720"/>
        <w:rPr>
          <w:rFonts w:eastAsiaTheme="minorEastAsia"/>
          <w:iCs/>
        </w:rPr>
      </w:pPr>
      <w:r>
        <w:rPr>
          <w:rFonts w:eastAsiaTheme="minorEastAsia"/>
          <w:iCs/>
        </w:rPr>
        <w:t>We recognize that the above procedure includes many simplistic assumptions, both scientifically and statistically, and therefore that the results of this analysis are not meant to be robust or reliable. Rather, our objective was to show a simple example of how this might work. In real settings, more careful consideration should be given to the choice of distributions (or, non-parametric techniques such as bootstrapping can be used) and to the processing steps used to align different variables.</w:t>
      </w:r>
    </w:p>
    <w:p w14:paraId="2EBA6E3B" w14:textId="4123A27A" w:rsidR="00CA7873" w:rsidRDefault="00CA7873" w:rsidP="00CA7873">
      <w:pPr>
        <w:ind w:firstLine="720"/>
        <w:rPr>
          <w:rFonts w:eastAsiaTheme="minorEastAsia"/>
          <w:iCs/>
        </w:rPr>
      </w:pPr>
    </w:p>
    <w:tbl>
      <w:tblPr>
        <w:tblStyle w:val="TableGrid"/>
        <w:tblW w:w="0" w:type="auto"/>
        <w:tblLook w:val="04A0" w:firstRow="1" w:lastRow="0" w:firstColumn="1" w:lastColumn="0" w:noHBand="0" w:noVBand="1"/>
      </w:tblPr>
      <w:tblGrid>
        <w:gridCol w:w="9350"/>
      </w:tblGrid>
      <w:tr w:rsidR="00CA7873" w14:paraId="1A47313C" w14:textId="77777777" w:rsidTr="00CA7873">
        <w:tc>
          <w:tcPr>
            <w:tcW w:w="9350" w:type="dxa"/>
          </w:tcPr>
          <w:p w14:paraId="2573B408" w14:textId="77777777" w:rsidR="00CA7873" w:rsidRDefault="00CA7873" w:rsidP="00CA7873">
            <w:pPr>
              <w:jc w:val="center"/>
              <w:rPr>
                <w:rFonts w:eastAsiaTheme="minorEastAsia"/>
                <w:iCs/>
              </w:rPr>
            </w:pPr>
            <w:r>
              <w:rPr>
                <w:rFonts w:eastAsiaTheme="minorEastAsia"/>
                <w:iCs/>
                <w:noProof/>
              </w:rPr>
              <w:drawing>
                <wp:inline distT="0" distB="0" distL="0" distR="0" wp14:anchorId="6B67736D" wp14:editId="55493B02">
                  <wp:extent cx="2743200" cy="3382108"/>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3382108"/>
                          </a:xfrm>
                          <a:prstGeom prst="rect">
                            <a:avLst/>
                          </a:prstGeom>
                        </pic:spPr>
                      </pic:pic>
                    </a:graphicData>
                  </a:graphic>
                </wp:inline>
              </w:drawing>
            </w:r>
          </w:p>
          <w:p w14:paraId="4A2C22FD" w14:textId="0AB429AC" w:rsidR="00CA7873" w:rsidRPr="00CA7873" w:rsidRDefault="00CA7873" w:rsidP="00CA7873">
            <w:pPr>
              <w:rPr>
                <w:rFonts w:eastAsiaTheme="minorEastAsia"/>
                <w:iCs/>
              </w:rPr>
            </w:pPr>
            <w:r>
              <w:rPr>
                <w:rFonts w:eastAsiaTheme="minorEastAsia"/>
                <w:b/>
                <w:bCs/>
                <w:iCs/>
              </w:rPr>
              <w:t>Figure 1:</w:t>
            </w:r>
            <w:r>
              <w:rPr>
                <w:rFonts w:eastAsiaTheme="minorEastAsia"/>
                <w:iCs/>
              </w:rPr>
              <w:t xml:space="preserve"> Mean estimates of vegetation biomass from the </w:t>
            </w:r>
            <w:proofErr w:type="spellStart"/>
            <w:r>
              <w:rPr>
                <w:rFonts w:eastAsiaTheme="minorEastAsia"/>
                <w:iCs/>
              </w:rPr>
              <w:t>MstMIP</w:t>
            </w:r>
            <w:proofErr w:type="spellEnd"/>
            <w:r>
              <w:rPr>
                <w:rFonts w:eastAsiaTheme="minorEastAsia"/>
                <w:iCs/>
              </w:rPr>
              <w:t xml:space="preserve"> multi-model ensemble (top) and </w:t>
            </w:r>
            <w:proofErr w:type="spellStart"/>
            <w:r>
              <w:rPr>
                <w:rFonts w:eastAsiaTheme="minorEastAsia"/>
                <w:iCs/>
              </w:rPr>
              <w:t>Madingley</w:t>
            </w:r>
            <w:proofErr w:type="spellEnd"/>
            <w:r>
              <w:rPr>
                <w:rFonts w:eastAsiaTheme="minorEastAsia"/>
                <w:iCs/>
              </w:rPr>
              <w:t xml:space="preserve"> model ensemble (middle), and the fraction of distribution overlap of these estimates and their uncertainties for each pixel (bottom; see methods for details).</w:t>
            </w:r>
          </w:p>
        </w:tc>
      </w:tr>
    </w:tbl>
    <w:p w14:paraId="0F1D0262" w14:textId="5B768234" w:rsidR="00CA7873" w:rsidRDefault="00CA7873" w:rsidP="00CA7873">
      <w:pPr>
        <w:rPr>
          <w:rFonts w:eastAsiaTheme="minorEastAsia"/>
          <w:iCs/>
        </w:rPr>
      </w:pPr>
    </w:p>
    <w:tbl>
      <w:tblPr>
        <w:tblStyle w:val="TableGrid"/>
        <w:tblW w:w="0" w:type="auto"/>
        <w:tblLook w:val="04A0" w:firstRow="1" w:lastRow="0" w:firstColumn="1" w:lastColumn="0" w:noHBand="0" w:noVBand="1"/>
      </w:tblPr>
      <w:tblGrid>
        <w:gridCol w:w="9350"/>
      </w:tblGrid>
      <w:tr w:rsidR="00CA7873" w14:paraId="4BECF748" w14:textId="77777777" w:rsidTr="00CA7873">
        <w:tc>
          <w:tcPr>
            <w:tcW w:w="9350" w:type="dxa"/>
          </w:tcPr>
          <w:p w14:paraId="7F42A814" w14:textId="4F23815E" w:rsidR="00CA7873" w:rsidRDefault="00CA7873" w:rsidP="00CA7873">
            <w:pPr>
              <w:jc w:val="center"/>
              <w:rPr>
                <w:rFonts w:eastAsiaTheme="minorEastAsia"/>
                <w:b/>
                <w:bCs/>
                <w:iCs/>
              </w:rPr>
            </w:pPr>
            <w:r>
              <w:rPr>
                <w:rFonts w:eastAsiaTheme="minorEastAsia"/>
                <w:b/>
                <w:bCs/>
                <w:iCs/>
                <w:noProof/>
              </w:rPr>
              <w:lastRenderedPageBreak/>
              <w:drawing>
                <wp:inline distT="0" distB="0" distL="0" distR="0" wp14:anchorId="2026D48F" wp14:editId="71F5B6B4">
                  <wp:extent cx="2743200" cy="3382108"/>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3382108"/>
                          </a:xfrm>
                          <a:prstGeom prst="rect">
                            <a:avLst/>
                          </a:prstGeom>
                        </pic:spPr>
                      </pic:pic>
                    </a:graphicData>
                  </a:graphic>
                </wp:inline>
              </w:drawing>
            </w:r>
          </w:p>
          <w:p w14:paraId="7B88D8AA" w14:textId="5228B8B4" w:rsidR="00CA7873" w:rsidRPr="00CA7873" w:rsidRDefault="00CA7873" w:rsidP="00CA7873">
            <w:pPr>
              <w:rPr>
                <w:rFonts w:eastAsiaTheme="minorEastAsia"/>
                <w:iCs/>
              </w:rPr>
            </w:pPr>
            <w:r>
              <w:rPr>
                <w:rFonts w:eastAsiaTheme="minorEastAsia"/>
                <w:b/>
                <w:bCs/>
                <w:iCs/>
              </w:rPr>
              <w:t>Figure 2:</w:t>
            </w:r>
            <w:r>
              <w:rPr>
                <w:rFonts w:eastAsiaTheme="minorEastAsia"/>
                <w:iCs/>
              </w:rPr>
              <w:t xml:space="preserve"> Same as Figure 1, but for moose density from observations (top) and the </w:t>
            </w:r>
            <w:proofErr w:type="spellStart"/>
            <w:r>
              <w:rPr>
                <w:rFonts w:eastAsiaTheme="minorEastAsia"/>
                <w:iCs/>
              </w:rPr>
              <w:t>Madingley</w:t>
            </w:r>
            <w:proofErr w:type="spellEnd"/>
            <w:r>
              <w:rPr>
                <w:rFonts w:eastAsiaTheme="minorEastAsia"/>
                <w:iCs/>
              </w:rPr>
              <w:t xml:space="preserve"> model (middle). Note that, unlike Figure 1, the top and middle panels have different scales. The pixel used for the joint constraint analysis in Figures 3 and 4 is indicated by the symbol in the bottom panel.</w:t>
            </w:r>
          </w:p>
        </w:tc>
      </w:tr>
    </w:tbl>
    <w:p w14:paraId="6C6DE865" w14:textId="7A6F114C" w:rsidR="00CA7873" w:rsidRDefault="00CA7873" w:rsidP="00CA7873">
      <w:pPr>
        <w:rPr>
          <w:rFonts w:eastAsiaTheme="minorEastAsia"/>
          <w:iCs/>
        </w:rPr>
      </w:pPr>
    </w:p>
    <w:tbl>
      <w:tblPr>
        <w:tblStyle w:val="TableGrid"/>
        <w:tblW w:w="0" w:type="auto"/>
        <w:tblLook w:val="04A0" w:firstRow="1" w:lastRow="0" w:firstColumn="1" w:lastColumn="0" w:noHBand="0" w:noVBand="1"/>
      </w:tblPr>
      <w:tblGrid>
        <w:gridCol w:w="9350"/>
      </w:tblGrid>
      <w:tr w:rsidR="00CA7873" w14:paraId="0B50C8E5" w14:textId="77777777" w:rsidTr="00CA7873">
        <w:tc>
          <w:tcPr>
            <w:tcW w:w="9350" w:type="dxa"/>
          </w:tcPr>
          <w:p w14:paraId="1883DF8B" w14:textId="43CD9201" w:rsidR="00981301" w:rsidRDefault="00981301" w:rsidP="00981301">
            <w:pPr>
              <w:jc w:val="center"/>
              <w:rPr>
                <w:rFonts w:eastAsiaTheme="minorEastAsia"/>
                <w:b/>
                <w:bCs/>
                <w:iCs/>
              </w:rPr>
            </w:pPr>
            <w:r>
              <w:rPr>
                <w:rFonts w:eastAsiaTheme="minorEastAsia"/>
                <w:b/>
                <w:bCs/>
                <w:iCs/>
                <w:noProof/>
              </w:rPr>
              <w:drawing>
                <wp:inline distT="0" distB="0" distL="0" distR="0" wp14:anchorId="4066FFF1" wp14:editId="2755526C">
                  <wp:extent cx="4886696" cy="2443348"/>
                  <wp:effectExtent l="0" t="0" r="3175"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2837" cy="2446419"/>
                          </a:xfrm>
                          <a:prstGeom prst="rect">
                            <a:avLst/>
                          </a:prstGeom>
                        </pic:spPr>
                      </pic:pic>
                    </a:graphicData>
                  </a:graphic>
                </wp:inline>
              </w:drawing>
            </w:r>
          </w:p>
          <w:p w14:paraId="704E6A4C" w14:textId="1FF51719" w:rsidR="00CA7873" w:rsidRPr="00CA7873" w:rsidRDefault="00CA7873" w:rsidP="00CA7873">
            <w:pPr>
              <w:rPr>
                <w:rFonts w:eastAsiaTheme="minorEastAsia"/>
                <w:iCs/>
              </w:rPr>
            </w:pPr>
            <w:r>
              <w:rPr>
                <w:rFonts w:eastAsiaTheme="minorEastAsia"/>
                <w:b/>
                <w:bCs/>
                <w:iCs/>
              </w:rPr>
              <w:t>Figure 3:</w:t>
            </w:r>
            <w:r>
              <w:rPr>
                <w:rFonts w:eastAsiaTheme="minorEastAsia"/>
                <w:iCs/>
              </w:rPr>
              <w:t xml:space="preserve"> </w:t>
            </w:r>
            <w:r w:rsidR="00981301">
              <w:rPr>
                <w:rFonts w:eastAsiaTheme="minorEastAsia"/>
                <w:iCs/>
              </w:rPr>
              <w:t xml:space="preserve">Univariate constraint analysis, as described in methods. Black line is the distribution of </w:t>
            </w:r>
            <w:proofErr w:type="spellStart"/>
            <w:r w:rsidR="00981301">
              <w:rPr>
                <w:rFonts w:eastAsiaTheme="minorEastAsia"/>
                <w:iCs/>
              </w:rPr>
              <w:t>MstMIP</w:t>
            </w:r>
            <w:proofErr w:type="spellEnd"/>
            <w:r w:rsidR="00981301">
              <w:rPr>
                <w:rFonts w:eastAsiaTheme="minorEastAsia"/>
                <w:iCs/>
              </w:rPr>
              <w:t xml:space="preserve"> ensemble estimates of vegetation biomass (left) and observed moose density (right). Red line is the distribution of both variables from </w:t>
            </w:r>
            <w:proofErr w:type="spellStart"/>
            <w:r w:rsidR="00981301">
              <w:rPr>
                <w:rFonts w:eastAsiaTheme="minorEastAsia"/>
                <w:iCs/>
              </w:rPr>
              <w:t>Madingley</w:t>
            </w:r>
            <w:proofErr w:type="spellEnd"/>
            <w:r w:rsidR="00981301">
              <w:rPr>
                <w:rFonts w:eastAsiaTheme="minorEastAsia"/>
                <w:iCs/>
              </w:rPr>
              <w:t>, with labeled red dashes showing individual ensemble members. Green line shows the best-estimate distribution from combining the two estimates, as described in the methods.</w:t>
            </w:r>
          </w:p>
        </w:tc>
      </w:tr>
    </w:tbl>
    <w:p w14:paraId="11F77ED5" w14:textId="0F47D420" w:rsidR="00CA7873" w:rsidRDefault="00CA7873" w:rsidP="00CA7873">
      <w:pPr>
        <w:rPr>
          <w:rFonts w:eastAsiaTheme="minorEastAsia"/>
          <w:iCs/>
        </w:rPr>
      </w:pPr>
    </w:p>
    <w:tbl>
      <w:tblPr>
        <w:tblStyle w:val="TableGrid"/>
        <w:tblW w:w="0" w:type="auto"/>
        <w:tblLook w:val="04A0" w:firstRow="1" w:lastRow="0" w:firstColumn="1" w:lastColumn="0" w:noHBand="0" w:noVBand="1"/>
      </w:tblPr>
      <w:tblGrid>
        <w:gridCol w:w="9350"/>
      </w:tblGrid>
      <w:tr w:rsidR="00981301" w14:paraId="4AD3946F" w14:textId="77777777" w:rsidTr="00981301">
        <w:tc>
          <w:tcPr>
            <w:tcW w:w="9350" w:type="dxa"/>
          </w:tcPr>
          <w:p w14:paraId="20101364" w14:textId="43EC9800" w:rsidR="00981301" w:rsidRDefault="00981301" w:rsidP="00981301">
            <w:pPr>
              <w:jc w:val="center"/>
              <w:rPr>
                <w:rFonts w:eastAsiaTheme="minorEastAsia"/>
                <w:b/>
                <w:bCs/>
                <w:iCs/>
              </w:rPr>
            </w:pPr>
            <w:r>
              <w:rPr>
                <w:rFonts w:eastAsiaTheme="minorEastAsia"/>
                <w:b/>
                <w:bCs/>
                <w:iCs/>
                <w:noProof/>
              </w:rPr>
              <w:lastRenderedPageBreak/>
              <w:drawing>
                <wp:inline distT="0" distB="0" distL="0" distR="0" wp14:anchorId="669022FF" wp14:editId="4CFAD2CD">
                  <wp:extent cx="3854000" cy="3340133"/>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9237" cy="3353338"/>
                          </a:xfrm>
                          <a:prstGeom prst="rect">
                            <a:avLst/>
                          </a:prstGeom>
                        </pic:spPr>
                      </pic:pic>
                    </a:graphicData>
                  </a:graphic>
                </wp:inline>
              </w:drawing>
            </w:r>
          </w:p>
          <w:p w14:paraId="69891410" w14:textId="3AE937D7" w:rsidR="00981301" w:rsidRPr="00981301" w:rsidRDefault="00981301" w:rsidP="00CA7873">
            <w:pPr>
              <w:rPr>
                <w:rFonts w:eastAsiaTheme="minorEastAsia"/>
                <w:iCs/>
              </w:rPr>
            </w:pPr>
            <w:r>
              <w:rPr>
                <w:rFonts w:eastAsiaTheme="minorEastAsia"/>
                <w:b/>
                <w:bCs/>
                <w:iCs/>
              </w:rPr>
              <w:t>Figure 4:</w:t>
            </w:r>
            <w:r>
              <w:rPr>
                <w:rFonts w:eastAsiaTheme="minorEastAsia"/>
                <w:iCs/>
              </w:rPr>
              <w:t xml:space="preserve"> Multivariate constraint analysis. Labeled black dots are </w:t>
            </w:r>
            <w:proofErr w:type="spellStart"/>
            <w:r>
              <w:rPr>
                <w:rFonts w:eastAsiaTheme="minorEastAsia"/>
                <w:iCs/>
              </w:rPr>
              <w:t>Madingley</w:t>
            </w:r>
            <w:proofErr w:type="spellEnd"/>
            <w:r>
              <w:rPr>
                <w:rFonts w:eastAsiaTheme="minorEastAsia"/>
                <w:iCs/>
              </w:rPr>
              <w:t xml:space="preserve"> ensemble joint estimates of moose density and vegetation biomass. Shading indicates the joint probability of moose density and vegetation biomass based on the </w:t>
            </w:r>
            <w:proofErr w:type="spellStart"/>
            <w:r>
              <w:rPr>
                <w:rFonts w:eastAsiaTheme="minorEastAsia"/>
                <w:iCs/>
              </w:rPr>
              <w:t>MstMIP</w:t>
            </w:r>
            <w:proofErr w:type="spellEnd"/>
            <w:r>
              <w:rPr>
                <w:rFonts w:eastAsiaTheme="minorEastAsia"/>
                <w:iCs/>
              </w:rPr>
              <w:t xml:space="preserve">/observed distributions (black lines in the marginal density plots). Blue line in marginal density plot represents the marginal distribution of each variable after the joint constraint (see methods) has been applied. Green dashed line in the marginal plots is the univariate constraint estimate, as in Figure 3. </w:t>
            </w:r>
          </w:p>
        </w:tc>
      </w:tr>
    </w:tbl>
    <w:p w14:paraId="51A19B44" w14:textId="77777777" w:rsidR="00981301" w:rsidRDefault="00981301" w:rsidP="00CA7873">
      <w:pPr>
        <w:rPr>
          <w:rFonts w:eastAsiaTheme="minorEastAsia"/>
          <w:iCs/>
        </w:rPr>
      </w:pPr>
    </w:p>
    <w:p w14:paraId="2D31682E" w14:textId="77777777" w:rsidR="00CA7873" w:rsidRPr="00E9446E" w:rsidRDefault="00CA7873" w:rsidP="00CA7873">
      <w:pPr>
        <w:rPr>
          <w:rFonts w:eastAsiaTheme="minorEastAsia"/>
          <w:iCs/>
        </w:rPr>
      </w:pPr>
    </w:p>
    <w:p w14:paraId="12627944" w14:textId="3C66D84B" w:rsidR="00C12588" w:rsidRDefault="00C12588" w:rsidP="003C2B48">
      <w:pPr>
        <w:pStyle w:val="Heading1"/>
      </w:pPr>
      <w:r>
        <w:t>References</w:t>
      </w:r>
    </w:p>
    <w:p w14:paraId="434F9AF5" w14:textId="77777777" w:rsidR="00C12588" w:rsidRDefault="00C12588" w:rsidP="00CA2801"/>
    <w:p w14:paraId="18C39A52" w14:textId="77777777" w:rsidR="00740B15" w:rsidRDefault="00740B15" w:rsidP="00CA2801">
      <w:r w:rsidRPr="000B702E">
        <w:t>Bond-</w:t>
      </w:r>
      <w:proofErr w:type="spellStart"/>
      <w:r w:rsidRPr="000B702E">
        <w:t>Lamberty</w:t>
      </w:r>
      <w:proofErr w:type="spellEnd"/>
      <w:r w:rsidRPr="000B702E">
        <w:t xml:space="preserve">, B, C Wang, and S T Gower. “Aboveground and Belowground Biomass and Sapwood Area Allometric Equations for Six Boreal Tree Species of Northern Manitoba.” Canadian Journal of Forest Research 32, no. 8 (August 2002): 1441–50. </w:t>
      </w:r>
      <w:hyperlink r:id="rId13" w:history="1">
        <w:r w:rsidRPr="00500331">
          <w:rPr>
            <w:rStyle w:val="Hyperlink"/>
          </w:rPr>
          <w:t>https://doi.org/10.1139/x02-063</w:t>
        </w:r>
      </w:hyperlink>
      <w:r w:rsidRPr="000B702E">
        <w:t>.</w:t>
      </w:r>
    </w:p>
    <w:p w14:paraId="6117613F" w14:textId="77777777" w:rsidR="00740B15" w:rsidRDefault="00740B15" w:rsidP="00CA2801"/>
    <w:p w14:paraId="23040632" w14:textId="1E132FA4" w:rsidR="00740B15" w:rsidRDefault="00740B15" w:rsidP="00CA2801">
      <w:proofErr w:type="spellStart"/>
      <w:r w:rsidRPr="000B702E">
        <w:t>Harfoot</w:t>
      </w:r>
      <w:proofErr w:type="spellEnd"/>
      <w:r w:rsidRPr="000B702E">
        <w:t xml:space="preserve">, Michael B. J., Tim Newbold, Derek P. </w:t>
      </w:r>
      <w:proofErr w:type="spellStart"/>
      <w:r w:rsidRPr="000B702E">
        <w:t>Tittensor</w:t>
      </w:r>
      <w:proofErr w:type="spellEnd"/>
      <w:r w:rsidRPr="000B702E">
        <w:t xml:space="preserve">, Stephen Emmott, Jon Hutton, </w:t>
      </w:r>
      <w:proofErr w:type="spellStart"/>
      <w:r w:rsidRPr="000B702E">
        <w:t>Vassily</w:t>
      </w:r>
      <w:proofErr w:type="spellEnd"/>
      <w:r w:rsidRPr="000B702E">
        <w:t xml:space="preserve"> </w:t>
      </w:r>
      <w:proofErr w:type="spellStart"/>
      <w:r w:rsidRPr="000B702E">
        <w:t>Lyutsarev</w:t>
      </w:r>
      <w:proofErr w:type="spellEnd"/>
      <w:r w:rsidRPr="000B702E">
        <w:t xml:space="preserve">, Matthew J. Smith, </w:t>
      </w:r>
      <w:proofErr w:type="spellStart"/>
      <w:r w:rsidRPr="000B702E">
        <w:t>Jörn</w:t>
      </w:r>
      <w:proofErr w:type="spellEnd"/>
      <w:r w:rsidRPr="000B702E">
        <w:t xml:space="preserve"> P. W. </w:t>
      </w:r>
      <w:proofErr w:type="spellStart"/>
      <w:r w:rsidRPr="000B702E">
        <w:t>Scharlemann</w:t>
      </w:r>
      <w:proofErr w:type="spellEnd"/>
      <w:r w:rsidRPr="000B702E">
        <w:t xml:space="preserve">, and Drew W. Purves. “Emergent Global Patterns of Ecosystem Structure and Function from a Mechanistic General Ecosystem Model.” Edited by Michel </w:t>
      </w:r>
      <w:proofErr w:type="spellStart"/>
      <w:r w:rsidRPr="000B702E">
        <w:t>Loreau</w:t>
      </w:r>
      <w:proofErr w:type="spellEnd"/>
      <w:r w:rsidRPr="000B702E">
        <w:t xml:space="preserve">. </w:t>
      </w:r>
      <w:proofErr w:type="spellStart"/>
      <w:r w:rsidRPr="000B702E">
        <w:t>PLoS</w:t>
      </w:r>
      <w:proofErr w:type="spellEnd"/>
      <w:r w:rsidRPr="000B702E">
        <w:t xml:space="preserve"> Biology 12, no. 4 (April 22, 2014): e1001841. </w:t>
      </w:r>
      <w:hyperlink r:id="rId14" w:history="1">
        <w:r w:rsidRPr="00500331">
          <w:rPr>
            <w:rStyle w:val="Hyperlink"/>
          </w:rPr>
          <w:t>https://doi.org/10.1371/journal.pbio.1001841</w:t>
        </w:r>
      </w:hyperlink>
      <w:r w:rsidRPr="000B702E">
        <w:t>.</w:t>
      </w:r>
    </w:p>
    <w:p w14:paraId="1F804D5F" w14:textId="77777777" w:rsidR="00740B15" w:rsidRDefault="00740B15" w:rsidP="00740B15"/>
    <w:p w14:paraId="6C6E6DCD" w14:textId="58FA9057" w:rsidR="00740B15" w:rsidRPr="00CA2801" w:rsidRDefault="00740B15" w:rsidP="00740B15">
      <w:proofErr w:type="spellStart"/>
      <w:r>
        <w:t>Hijmans</w:t>
      </w:r>
      <w:proofErr w:type="spellEnd"/>
      <w:r>
        <w:t>, Robert J. (2020). raster: Geographic Data Analysis and Modeling. R package version 3.0-12. https://CRAN.R-project.org/package=raster</w:t>
      </w:r>
    </w:p>
    <w:p w14:paraId="5EB1398D" w14:textId="77777777" w:rsidR="00740B15" w:rsidRDefault="00740B15" w:rsidP="00CA2801"/>
    <w:p w14:paraId="63772FCE" w14:textId="18250158" w:rsidR="00740B15" w:rsidRDefault="00740B15" w:rsidP="00CA2801">
      <w:proofErr w:type="spellStart"/>
      <w:r w:rsidRPr="00CA2801">
        <w:lastRenderedPageBreak/>
        <w:t>Huntzinger</w:t>
      </w:r>
      <w:proofErr w:type="spellEnd"/>
      <w:r w:rsidRPr="00CA2801">
        <w:t xml:space="preserve">, D.N., C.R. </w:t>
      </w:r>
      <w:proofErr w:type="spellStart"/>
      <w:r w:rsidRPr="00CA2801">
        <w:t>Schwalm</w:t>
      </w:r>
      <w:proofErr w:type="spellEnd"/>
      <w:r w:rsidRPr="00CA2801">
        <w:t xml:space="preserve">, Y. Wei, R.B. Cook, A.M. Michalak, K. Schaefer, A.R. Jacobson, M.A. </w:t>
      </w:r>
      <w:proofErr w:type="spellStart"/>
      <w:r w:rsidRPr="00CA2801">
        <w:t>Arain</w:t>
      </w:r>
      <w:proofErr w:type="spellEnd"/>
      <w:r w:rsidRPr="00CA2801">
        <w:t xml:space="preserve">, P. </w:t>
      </w:r>
      <w:proofErr w:type="spellStart"/>
      <w:r w:rsidRPr="00CA2801">
        <w:t>Ciais</w:t>
      </w:r>
      <w:proofErr w:type="spellEnd"/>
      <w:r w:rsidRPr="00CA2801">
        <w:t xml:space="preserve">, J.B. Fisher, D.J. Hayes, M. Huang, S. Huang, A. Ito, A.K. Jain, H. Lei, C. Lu, F. </w:t>
      </w:r>
      <w:proofErr w:type="spellStart"/>
      <w:r w:rsidRPr="00CA2801">
        <w:t>Maignan</w:t>
      </w:r>
      <w:proofErr w:type="spellEnd"/>
      <w:r w:rsidRPr="00CA2801">
        <w:t xml:space="preserve">, J. Mao, N.C. </w:t>
      </w:r>
      <w:proofErr w:type="spellStart"/>
      <w:r w:rsidRPr="00CA2801">
        <w:t>Parazoo</w:t>
      </w:r>
      <w:proofErr w:type="spellEnd"/>
      <w:r w:rsidRPr="00CA2801">
        <w:t xml:space="preserve">, C. Peng, S. Peng, B. Poulter, D.M. </w:t>
      </w:r>
      <w:proofErr w:type="spellStart"/>
      <w:r w:rsidRPr="00CA2801">
        <w:t>Ricciuto</w:t>
      </w:r>
      <w:proofErr w:type="spellEnd"/>
      <w:r w:rsidRPr="00CA2801">
        <w:t xml:space="preserve">, H. Tian, X. Shi, W. Wang, N. Zeng, F. Zhao, Q. Zhu, J. Yang, and B. Tao. 2018. NACP </w:t>
      </w:r>
      <w:proofErr w:type="spellStart"/>
      <w:r w:rsidRPr="00CA2801">
        <w:t>MsTMIP</w:t>
      </w:r>
      <w:proofErr w:type="spellEnd"/>
      <w:r w:rsidRPr="00CA2801">
        <w:t xml:space="preserve">: Global 0.5-degree Model Outputs in Standard Format, Version 1.0. ORNL DAAC, Oak Ridge, Tennessee, USA. </w:t>
      </w:r>
      <w:hyperlink r:id="rId15" w:history="1">
        <w:r w:rsidRPr="00500331">
          <w:rPr>
            <w:rStyle w:val="Hyperlink"/>
          </w:rPr>
          <w:t>https://doi.org/10.3334/ORNLDAAC/1225</w:t>
        </w:r>
      </w:hyperlink>
    </w:p>
    <w:sectPr w:rsidR="00740B15" w:rsidSect="00EA28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iklomanov, Alexey N. (GSFC-6180)" w:date="2020-08-07T12:53:00Z" w:initials="SAN(">
    <w:p w14:paraId="6ECF24F4" w14:textId="67097D52" w:rsidR="00A01799" w:rsidRDefault="00A01799">
      <w:pPr>
        <w:pStyle w:val="CommentText"/>
      </w:pPr>
      <w:r>
        <w:rPr>
          <w:rStyle w:val="CommentReference"/>
        </w:rPr>
        <w:annotationRef/>
      </w:r>
      <w:r>
        <w:rPr>
          <w:noProof/>
        </w:rPr>
        <w:t>All of this is currently based on Wikipedia. Ideally, we should get a peer-reviewed paper with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CF24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7CD38" w16cex:dateUtc="2020-08-07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CF24F4" w16cid:durableId="22D7CD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klomanov, Alexey N. (GSFC-6180)">
    <w15:presenceInfo w15:providerId="AD" w15:userId="S::ashiklom@ndc.nasa.gov::4d01845c-d5fe-4862-907a-201972e5a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01"/>
    <w:rsid w:val="000235AC"/>
    <w:rsid w:val="000949A2"/>
    <w:rsid w:val="000B702E"/>
    <w:rsid w:val="00175A08"/>
    <w:rsid w:val="00235036"/>
    <w:rsid w:val="003C2B48"/>
    <w:rsid w:val="004921A8"/>
    <w:rsid w:val="005B6B02"/>
    <w:rsid w:val="00740B15"/>
    <w:rsid w:val="009645B5"/>
    <w:rsid w:val="00981301"/>
    <w:rsid w:val="009D37DB"/>
    <w:rsid w:val="00A01799"/>
    <w:rsid w:val="00B31FBB"/>
    <w:rsid w:val="00B53019"/>
    <w:rsid w:val="00C12588"/>
    <w:rsid w:val="00CA2801"/>
    <w:rsid w:val="00CA7873"/>
    <w:rsid w:val="00D639AB"/>
    <w:rsid w:val="00E14F11"/>
    <w:rsid w:val="00E9446E"/>
    <w:rsid w:val="00EA26E5"/>
    <w:rsid w:val="00EA28DD"/>
    <w:rsid w:val="00F6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7DC01"/>
  <w15:chartTrackingRefBased/>
  <w15:docId w15:val="{2E8E258D-BC42-9649-8119-E8C6CD90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2B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02E"/>
    <w:rPr>
      <w:color w:val="0563C1" w:themeColor="hyperlink"/>
      <w:u w:val="single"/>
    </w:rPr>
  </w:style>
  <w:style w:type="character" w:styleId="UnresolvedMention">
    <w:name w:val="Unresolved Mention"/>
    <w:basedOn w:val="DefaultParagraphFont"/>
    <w:uiPriority w:val="99"/>
    <w:semiHidden/>
    <w:unhideWhenUsed/>
    <w:rsid w:val="000B702E"/>
    <w:rPr>
      <w:color w:val="605E5C"/>
      <w:shd w:val="clear" w:color="auto" w:fill="E1DFDD"/>
    </w:rPr>
  </w:style>
  <w:style w:type="character" w:styleId="CommentReference">
    <w:name w:val="annotation reference"/>
    <w:basedOn w:val="DefaultParagraphFont"/>
    <w:uiPriority w:val="99"/>
    <w:semiHidden/>
    <w:unhideWhenUsed/>
    <w:rsid w:val="00EA26E5"/>
    <w:rPr>
      <w:sz w:val="16"/>
      <w:szCs w:val="16"/>
    </w:rPr>
  </w:style>
  <w:style w:type="paragraph" w:styleId="CommentText">
    <w:name w:val="annotation text"/>
    <w:basedOn w:val="Normal"/>
    <w:link w:val="CommentTextChar"/>
    <w:uiPriority w:val="99"/>
    <w:semiHidden/>
    <w:unhideWhenUsed/>
    <w:rsid w:val="00EA26E5"/>
    <w:rPr>
      <w:sz w:val="20"/>
      <w:szCs w:val="20"/>
    </w:rPr>
  </w:style>
  <w:style w:type="character" w:customStyle="1" w:styleId="CommentTextChar">
    <w:name w:val="Comment Text Char"/>
    <w:basedOn w:val="DefaultParagraphFont"/>
    <w:link w:val="CommentText"/>
    <w:uiPriority w:val="99"/>
    <w:semiHidden/>
    <w:rsid w:val="00EA26E5"/>
    <w:rPr>
      <w:sz w:val="20"/>
      <w:szCs w:val="20"/>
    </w:rPr>
  </w:style>
  <w:style w:type="paragraph" w:styleId="CommentSubject">
    <w:name w:val="annotation subject"/>
    <w:basedOn w:val="CommentText"/>
    <w:next w:val="CommentText"/>
    <w:link w:val="CommentSubjectChar"/>
    <w:uiPriority w:val="99"/>
    <w:semiHidden/>
    <w:unhideWhenUsed/>
    <w:rsid w:val="00EA26E5"/>
    <w:rPr>
      <w:b/>
      <w:bCs/>
    </w:rPr>
  </w:style>
  <w:style w:type="character" w:customStyle="1" w:styleId="CommentSubjectChar">
    <w:name w:val="Comment Subject Char"/>
    <w:basedOn w:val="CommentTextChar"/>
    <w:link w:val="CommentSubject"/>
    <w:uiPriority w:val="99"/>
    <w:semiHidden/>
    <w:rsid w:val="00EA26E5"/>
    <w:rPr>
      <w:b/>
      <w:bCs/>
      <w:sz w:val="20"/>
      <w:szCs w:val="20"/>
    </w:rPr>
  </w:style>
  <w:style w:type="paragraph" w:styleId="BalloonText">
    <w:name w:val="Balloon Text"/>
    <w:basedOn w:val="Normal"/>
    <w:link w:val="BalloonTextChar"/>
    <w:uiPriority w:val="99"/>
    <w:semiHidden/>
    <w:unhideWhenUsed/>
    <w:rsid w:val="00EA26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26E5"/>
    <w:rPr>
      <w:rFonts w:ascii="Times New Roman" w:hAnsi="Times New Roman" w:cs="Times New Roman"/>
      <w:sz w:val="18"/>
      <w:szCs w:val="18"/>
    </w:rPr>
  </w:style>
  <w:style w:type="paragraph" w:styleId="Revision">
    <w:name w:val="Revision"/>
    <w:hidden/>
    <w:uiPriority w:val="99"/>
    <w:semiHidden/>
    <w:rsid w:val="00EA26E5"/>
  </w:style>
  <w:style w:type="character" w:customStyle="1" w:styleId="Heading1Char">
    <w:name w:val="Heading 1 Char"/>
    <w:basedOn w:val="DefaultParagraphFont"/>
    <w:link w:val="Heading1"/>
    <w:uiPriority w:val="9"/>
    <w:rsid w:val="003C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2B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921A8"/>
    <w:rPr>
      <w:color w:val="808080"/>
    </w:rPr>
  </w:style>
  <w:style w:type="table" w:styleId="TableGrid">
    <w:name w:val="Table Grid"/>
    <w:basedOn w:val="TableNormal"/>
    <w:uiPriority w:val="39"/>
    <w:rsid w:val="00CA7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368963">
      <w:bodyDiv w:val="1"/>
      <w:marLeft w:val="0"/>
      <w:marRight w:val="0"/>
      <w:marTop w:val="0"/>
      <w:marBottom w:val="0"/>
      <w:divBdr>
        <w:top w:val="none" w:sz="0" w:space="0" w:color="auto"/>
        <w:left w:val="none" w:sz="0" w:space="0" w:color="auto"/>
        <w:bottom w:val="none" w:sz="0" w:space="0" w:color="auto"/>
        <w:right w:val="none" w:sz="0" w:space="0" w:color="auto"/>
      </w:divBdr>
      <w:divsChild>
        <w:div w:id="2058890338">
          <w:marLeft w:val="480"/>
          <w:marRight w:val="0"/>
          <w:marTop w:val="0"/>
          <w:marBottom w:val="0"/>
          <w:divBdr>
            <w:top w:val="none" w:sz="0" w:space="0" w:color="auto"/>
            <w:left w:val="none" w:sz="0" w:space="0" w:color="auto"/>
            <w:bottom w:val="none" w:sz="0" w:space="0" w:color="auto"/>
            <w:right w:val="none" w:sz="0" w:space="0" w:color="auto"/>
          </w:divBdr>
          <w:divsChild>
            <w:div w:id="18517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39/x02-063"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doi.org/10.3334/ORNLDAAC/1225"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371/journal.pbio.1001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7F618-5A4A-1D46-8D6F-B0F9F07C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Shiklomanov, Alexey N. (GSFC-6180)</dc:creator>
  <cp:keywords/>
  <dc:description/>
  <cp:lastModifiedBy>Shiklomanov, Alexey N. (GSFC-6180)</cp:lastModifiedBy>
  <cp:revision>9</cp:revision>
  <dcterms:created xsi:type="dcterms:W3CDTF">2020-08-07T15:35:00Z</dcterms:created>
  <dcterms:modified xsi:type="dcterms:W3CDTF">2020-08-07T18:42:00Z</dcterms:modified>
</cp:coreProperties>
</file>