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rFonts w:ascii="Arial" w:cs="Arial" w:eastAsia="Arial" w:hAnsi="Arial"/>
          <w:b/>
          <w:bCs/>
          <w:color w:val="1F3864"/>
          <w:sz w:val="50"/>
          <w:szCs w:val="50"/>
        </w:rPr>
        <w:t xml:space="preserve">PRESENTATION SCRIPT</w:t>
      </w:r>
    </w:p>
    <w:p>
      <w:pPr>
        <w:spacing w:after="0" w:before="110"/>
        <w:jc w:val="center"/>
      </w:pPr>
      <w:r>
        <w:rPr>
          <w:rFonts w:ascii="Arial" w:cs="Arial" w:eastAsia="Arial" w:hAnsi="Arial"/>
          <w:b/>
          <w:bCs/>
          <w:color w:val="2F5496"/>
          <w:sz w:val="30"/>
          <w:szCs w:val="30"/>
        </w:rPr>
        <w:t xml:space="preserve">ParaBank Automation - Demo Video Narration</w:t>
      </w:r>
    </w:p>
    <w:p>
      <w:pPr>
        <w:spacing w:after="700" w:before="60"/>
        <w:jc w:val="center"/>
      </w:pPr>
      <w:r>
        <w:rPr>
          <w:rFonts w:ascii="Arial" w:cs="Arial" w:eastAsia="Arial" w:hAnsi="Arial"/>
          <w:i/>
          <w:iCs/>
          <w:color w:val="595959"/>
          <w:sz w:val="22"/>
          <w:szCs w:val="22"/>
        </w:rPr>
        <w:t xml:space="preserve">Crisp, slide-by-slide script for a 10-12 minute recorded walkthrough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8"/>
                <w:szCs w:val="18"/>
              </w:rPr>
              <w:t xml:space="preserve">Field</w:t>
            </w:r>
          </w:p>
        </w:tc>
        <w:tc>
          <w:tcPr>
            <w:tcW w:type="dxa" w:w="6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8"/>
                <w:szCs w:val="18"/>
              </w:rPr>
              <w:t xml:space="preserve">Detail</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bCs/>
                <w:sz w:val="18"/>
                <w:szCs w:val="18"/>
              </w:rPr>
              <w:t xml:space="preserve">Deliverable</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Demo video narration script</w:t>
            </w:r>
          </w:p>
        </w:tc>
      </w:tr>
      <w:tr>
        <w:tc>
          <w:tcPr>
            <w:tcW w:type="dxa" w:w="26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bCs/>
                <w:sz w:val="18"/>
                <w:szCs w:val="18"/>
              </w:rPr>
              <w:t xml:space="preserve">Companion deck</w:t>
            </w:r>
          </w:p>
        </w:tc>
        <w:tc>
          <w:tcPr>
            <w:tcW w:type="dxa" w:w="676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ParaBank_Assessment_Demo.pptx (17 slides)</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bCs/>
                <w:sz w:val="18"/>
                <w:szCs w:val="18"/>
              </w:rPr>
              <w:t xml:space="preserve">Target length</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10 - 12 minutes</w:t>
            </w:r>
          </w:p>
        </w:tc>
      </w:tr>
      <w:tr>
        <w:tc>
          <w:tcPr>
            <w:tcW w:type="dxa" w:w="26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bCs/>
                <w:sz w:val="18"/>
                <w:szCs w:val="18"/>
              </w:rPr>
              <w:t xml:space="preserve">Presenter</w:t>
            </w:r>
          </w:p>
        </w:tc>
        <w:tc>
          <w:tcPr>
            <w:tcW w:type="dxa" w:w="676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Ashik Mohamed</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bCs/>
                <w:sz w:val="18"/>
                <w:szCs w:val="18"/>
              </w:rPr>
              <w:t xml:space="preserve">Date</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24 May 2026</w:t>
            </w:r>
          </w:p>
        </w:tc>
      </w:tr>
    </w:tbl>
    <w:p>
      <w:r>
        <w:br w:type="page"/>
      </w:r>
    </w:p>
    <w:p>
      <w:pPr>
        <w:pStyle w:val="Heading1"/>
      </w:pPr>
      <w:r>
        <w:rPr>
          <w:rFonts w:ascii="Arial" w:cs="Arial" w:eastAsia="Arial" w:hAnsi="Arial"/>
        </w:rPr>
        <w:t xml:space="preserve">How to use this script</w:t>
      </w:r>
    </w:p>
    <w:p>
      <w:pPr>
        <w:spacing w:after="120"/>
      </w:pPr>
      <w:r>
        <w:rPr>
          <w:rFonts w:ascii="Arial" w:cs="Arial" w:eastAsia="Arial" w:hAnsi="Arial"/>
        </w:rPr>
        <w:t xml:space="preserve">Each slide has a SAY block - the words to narrate - kept short and crisp. Slide 12 also has a DO block listing the live-demo screen actions. Speak naturally at about 135 words per minute; the script is a guide, not a word-for-word cue card.</w:t>
      </w:r>
    </w:p>
    <w:p>
      <w:pPr>
        <w:pStyle w:val="ListParagraph"/>
        <w:numPr>
          <w:ilvl w:val="0"/>
          <w:numId w:val="2"/>
        </w:numPr>
        <w:spacing w:after="60"/>
      </w:pPr>
      <w:r>
        <w:rPr>
          <w:rFonts w:ascii="Arial" w:cs="Arial" w:eastAsia="Arial" w:hAnsi="Arial"/>
          <w:sz w:val="21"/>
          <w:szCs w:val="21"/>
        </w:rPr>
        <w:t xml:space="preserve">The deck runs 17 slides; the narration plus the live demo totals about 12 minutes - comfortably over the 10-minute minimum.</w:t>
      </w:r>
    </w:p>
    <w:p>
      <w:pPr>
        <w:pStyle w:val="ListParagraph"/>
        <w:numPr>
          <w:ilvl w:val="0"/>
          <w:numId w:val="2"/>
        </w:numPr>
        <w:spacing w:after="60"/>
      </w:pPr>
      <w:r>
        <w:rPr>
          <w:rFonts w:ascii="Arial" w:cs="Arial" w:eastAsia="Arial" w:hAnsi="Arial"/>
          <w:sz w:val="21"/>
          <w:szCs w:val="21"/>
        </w:rPr>
        <w:t xml:space="preserve">Slide 12 is the live demo - the longest segment. Record the suite running separately and splice it in, or present it live.</w:t>
      </w:r>
    </w:p>
    <w:p>
      <w:pPr>
        <w:pStyle w:val="ListParagraph"/>
        <w:numPr>
          <w:ilvl w:val="0"/>
          <w:numId w:val="2"/>
        </w:numPr>
        <w:spacing w:after="60"/>
      </w:pPr>
      <w:r>
        <w:rPr>
          <w:rFonts w:ascii="Arial" w:cs="Arial" w:eastAsia="Arial" w:hAnsi="Arial"/>
          <w:sz w:val="21"/>
          <w:szCs w:val="21"/>
        </w:rPr>
        <w:t xml:space="preserve">If you run long, trim the demo first; if short, expand the demo narration.</w:t>
      </w:r>
    </w:p>
    <w:p>
      <w:pPr>
        <w:pStyle w:val="ListParagraph"/>
        <w:numPr>
          <w:ilvl w:val="0"/>
          <w:numId w:val="2"/>
        </w:numPr>
        <w:spacing w:after="200"/>
      </w:pPr>
      <w:r>
        <w:rPr>
          <w:rFonts w:ascii="Arial" w:cs="Arial" w:eastAsia="Arial" w:hAnsi="Arial"/>
          <w:sz w:val="21"/>
          <w:szCs w:val="21"/>
        </w:rPr>
        <w:t xml:space="preserve">The same narration is in each slide’s Notes panel inside the .pptx.</w:t>
      </w:r>
    </w:p>
    <w:p>
      <w:pPr>
        <w:pStyle w:val="Heading1"/>
      </w:pPr>
      <w:r>
        <w:rPr>
          <w:rFonts w:ascii="Arial" w:cs="Arial" w:eastAsia="Arial" w:hAnsi="Arial"/>
        </w:rPr>
        <w:t xml:space="preserve">Timing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60"/>
        <w:gridCol w:w="1500"/>
        <w:gridCol w:w="240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8"/>
                <w:szCs w:val="18"/>
              </w:rPr>
              <w:t xml:space="preserve">Slide</w:t>
            </w:r>
          </w:p>
        </w:tc>
        <w:tc>
          <w:tcPr>
            <w:tcW w:type="dxa" w:w="45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8"/>
                <w:szCs w:val="18"/>
              </w:rPr>
              <w:t xml:space="preserve">Segment</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8"/>
                <w:szCs w:val="18"/>
              </w:rPr>
              <w:t xml:space="preserve">Target</w:t>
            </w:r>
          </w:p>
        </w:tc>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8"/>
                <w:szCs w:val="18"/>
              </w:rPr>
              <w:t xml:space="preserve">Running total</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bCs/>
                <w:sz w:val="18"/>
                <w:szCs w:val="18"/>
              </w:rPr>
              <w:t xml:space="preserve">1</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Title &amp; introduction</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0:22</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0:22</w:t>
            </w:r>
          </w:p>
        </w:tc>
      </w:tr>
      <w:tr>
        <w:tc>
          <w:tcPr>
            <w:tcW w:type="dxa" w:w="9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bCs/>
                <w:sz w:val="18"/>
                <w:szCs w:val="18"/>
              </w:rPr>
              <w:t xml:space="preserve">2</w:t>
            </w:r>
          </w:p>
        </w:tc>
        <w:tc>
          <w:tcPr>
            <w:tcW w:type="dxa" w:w="456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The assignment</w:t>
            </w:r>
          </w:p>
        </w:tc>
        <w:tc>
          <w:tcPr>
            <w:tcW w:type="dxa" w:w="15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0:38</w:t>
            </w:r>
          </w:p>
        </w:tc>
        <w:tc>
          <w:tcPr>
            <w:tcW w:type="dxa" w:w="24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1:00</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bCs/>
                <w:sz w:val="18"/>
                <w:szCs w:val="18"/>
              </w:rPr>
              <w:t xml:space="preserve">3</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The application &amp; core flow</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0:35</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1:35</w:t>
            </w:r>
          </w:p>
        </w:tc>
      </w:tr>
      <w:tr>
        <w:tc>
          <w:tcPr>
            <w:tcW w:type="dxa" w:w="9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bCs/>
                <w:sz w:val="18"/>
                <w:szCs w:val="18"/>
              </w:rPr>
              <w:t xml:space="preserve">4</w:t>
            </w:r>
          </w:p>
        </w:tc>
        <w:tc>
          <w:tcPr>
            <w:tcW w:type="dxa" w:w="456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Approach &amp; tech stack</w:t>
            </w:r>
          </w:p>
        </w:tc>
        <w:tc>
          <w:tcPr>
            <w:tcW w:type="dxa" w:w="15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0:38</w:t>
            </w:r>
          </w:p>
        </w:tc>
        <w:tc>
          <w:tcPr>
            <w:tcW w:type="dxa" w:w="24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2:13</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bCs/>
                <w:sz w:val="18"/>
                <w:szCs w:val="18"/>
              </w:rPr>
              <w:t xml:space="preserve">5</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Framework architecture</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0:35</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2:48</w:t>
            </w:r>
          </w:p>
        </w:tc>
      </w:tr>
      <w:tr>
        <w:tc>
          <w:tcPr>
            <w:tcW w:type="dxa" w:w="9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bCs/>
                <w:sz w:val="18"/>
                <w:szCs w:val="18"/>
              </w:rPr>
              <w:t xml:space="preserve">6</w:t>
            </w:r>
          </w:p>
        </w:tc>
        <w:tc>
          <w:tcPr>
            <w:tcW w:type="dxa" w:w="456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BDD in action</w:t>
            </w:r>
          </w:p>
        </w:tc>
        <w:tc>
          <w:tcPr>
            <w:tcW w:type="dxa" w:w="15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0:38</w:t>
            </w:r>
          </w:p>
        </w:tc>
        <w:tc>
          <w:tcPr>
            <w:tcW w:type="dxa" w:w="24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3:26</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bCs/>
                <w:sz w:val="18"/>
                <w:szCs w:val="18"/>
              </w:rPr>
              <w:t xml:space="preserve">7</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Page Object Model</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0:38</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4:04</w:t>
            </w:r>
          </w:p>
        </w:tc>
      </w:tr>
      <w:tr>
        <w:tc>
          <w:tcPr>
            <w:tcW w:type="dxa" w:w="9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bCs/>
                <w:sz w:val="18"/>
                <w:szCs w:val="18"/>
              </w:rPr>
              <w:t xml:space="preserve">8</w:t>
            </w:r>
          </w:p>
        </w:tc>
        <w:tc>
          <w:tcPr>
            <w:tcW w:type="dxa" w:w="456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Test coverage</w:t>
            </w:r>
          </w:p>
        </w:tc>
        <w:tc>
          <w:tcPr>
            <w:tcW w:type="dxa" w:w="15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0:32</w:t>
            </w:r>
          </w:p>
        </w:tc>
        <w:tc>
          <w:tcPr>
            <w:tcW w:type="dxa" w:w="24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4:36</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bCs/>
                <w:sz w:val="18"/>
                <w:szCs w:val="18"/>
              </w:rPr>
              <w:t xml:space="preserve">9</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Deep testing - boundary</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0:40</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5:16</w:t>
            </w:r>
          </w:p>
        </w:tc>
      </w:tr>
      <w:tr>
        <w:tc>
          <w:tcPr>
            <w:tcW w:type="dxa" w:w="9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bCs/>
                <w:sz w:val="18"/>
                <w:szCs w:val="18"/>
              </w:rPr>
              <w:t xml:space="preserve">10</w:t>
            </w:r>
          </w:p>
        </w:tc>
        <w:tc>
          <w:tcPr>
            <w:tcW w:type="dxa" w:w="456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Deep testing - security</w:t>
            </w:r>
          </w:p>
        </w:tc>
        <w:tc>
          <w:tcPr>
            <w:tcW w:type="dxa" w:w="15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0:45</w:t>
            </w:r>
          </w:p>
        </w:tc>
        <w:tc>
          <w:tcPr>
            <w:tcW w:type="dxa" w:w="24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6:01</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bCs/>
                <w:sz w:val="18"/>
                <w:szCs w:val="18"/>
              </w:rPr>
              <w:t xml:space="preserve">11</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Deep testing - access &amp; performance</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0:42</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6:43</w:t>
            </w:r>
          </w:p>
        </w:tc>
      </w:tr>
      <w:tr>
        <w:tc>
          <w:tcPr>
            <w:tcW w:type="dxa" w:w="9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bCs/>
                <w:sz w:val="18"/>
                <w:szCs w:val="18"/>
              </w:rPr>
              <w:t xml:space="preserve">12</w:t>
            </w:r>
          </w:p>
        </w:tc>
        <w:tc>
          <w:tcPr>
            <w:tcW w:type="dxa" w:w="456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Live demo</w:t>
            </w:r>
          </w:p>
        </w:tc>
        <w:tc>
          <w:tcPr>
            <w:tcW w:type="dxa" w:w="15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2:30</w:t>
            </w:r>
          </w:p>
        </w:tc>
        <w:tc>
          <w:tcPr>
            <w:tcW w:type="dxa" w:w="24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9:13</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bCs/>
                <w:sz w:val="18"/>
                <w:szCs w:val="18"/>
              </w:rPr>
              <w:t xml:space="preserve">13</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Results</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0:32</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9:45</w:t>
            </w:r>
          </w:p>
        </w:tc>
      </w:tr>
      <w:tr>
        <w:tc>
          <w:tcPr>
            <w:tcW w:type="dxa" w:w="9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bCs/>
                <w:sz w:val="18"/>
                <w:szCs w:val="18"/>
              </w:rPr>
              <w:t xml:space="preserve">14</w:t>
            </w:r>
          </w:p>
        </w:tc>
        <w:tc>
          <w:tcPr>
            <w:tcW w:type="dxa" w:w="456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Reporting &amp; evidence</w:t>
            </w:r>
          </w:p>
        </w:tc>
        <w:tc>
          <w:tcPr>
            <w:tcW w:type="dxa" w:w="15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0:35</w:t>
            </w:r>
          </w:p>
        </w:tc>
        <w:tc>
          <w:tcPr>
            <w:tcW w:type="dxa" w:w="24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10:20</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bCs/>
                <w:sz w:val="18"/>
                <w:szCs w:val="18"/>
              </w:rPr>
              <w:t xml:space="preserve">15</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Security finding</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0:42</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11:02</w:t>
            </w:r>
          </w:p>
        </w:tc>
      </w:tr>
      <w:tr>
        <w:tc>
          <w:tcPr>
            <w:tcW w:type="dxa" w:w="9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bCs/>
                <w:sz w:val="18"/>
                <w:szCs w:val="18"/>
              </w:rPr>
              <w:t xml:space="preserve">16</w:t>
            </w:r>
          </w:p>
        </w:tc>
        <w:tc>
          <w:tcPr>
            <w:tcW w:type="dxa" w:w="456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Deliverables</w:t>
            </w:r>
          </w:p>
        </w:tc>
        <w:tc>
          <w:tcPr>
            <w:tcW w:type="dxa" w:w="15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0:32</w:t>
            </w:r>
          </w:p>
        </w:tc>
        <w:tc>
          <w:tcPr>
            <w:tcW w:type="dxa" w:w="24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11:34</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bCs/>
                <w:sz w:val="18"/>
                <w:szCs w:val="18"/>
              </w:rPr>
              <w:t xml:space="preserve">17</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Closing</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0:22</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11:56</w:t>
            </w:r>
          </w:p>
        </w:tc>
      </w:tr>
    </w:tbl>
    <w:p>
      <w:pPr>
        <w:spacing w:after="120"/>
      </w:pPr>
      <w:r>
        <w:rPr>
          <w:rFonts w:ascii="Arial" w:cs="Arial" w:eastAsia="Arial" w:hAnsi="Arial"/>
          <w:i/>
          <w:iCs/>
          <w:color w:val="595959"/>
          <w:sz w:val="20"/>
          <w:szCs w:val="20"/>
        </w:rPr>
        <w:t xml:space="preserve">Estimated total: about 12 minutes.</w:t>
      </w:r>
    </w:p>
    <w:p>
      <w:r>
        <w:br w:type="page"/>
      </w:r>
    </w:p>
    <w:p>
      <w:pPr>
        <w:pStyle w:val="Heading1"/>
      </w:pPr>
      <w:r>
        <w:rPr>
          <w:rFonts w:ascii="Arial" w:cs="Arial" w:eastAsia="Arial" w:hAnsi="Arial"/>
        </w:rPr>
        <w:t xml:space="preserve">The script</w:t>
      </w:r>
    </w:p>
    <w:p>
      <w:pPr>
        <w:pStyle w:val="Heading2"/>
        <w:spacing w:after="90" w:before="240"/>
      </w:pPr>
      <w:r>
        <w:rPr>
          <w:rFonts w:ascii="Arial" w:cs="Arial" w:eastAsia="Arial" w:hAnsi="Arial"/>
        </w:rPr>
        <w:t xml:space="preserve">Slide 1  ·  Title &amp; Introduction</w:t>
      </w:r>
      <w:r>
        <w:rPr>
          <w:rFonts w:ascii="Arial" w:cs="Arial" w:eastAsia="Arial" w:hAnsi="Arial"/>
          <w:b/>
          <w:bCs/>
          <w:color w:val="147E72"/>
          <w:sz w:val="20"/>
          <w:szCs w:val="20"/>
        </w:rPr>
        <w:t xml:space="preserve">          target  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47E72" w:sz="18"/>
              <w:bottom w:val="single" w:color="BFBFBF" w:sz="1"/>
              <w:right w:val="single" w:color="BFBFBF" w:sz="1"/>
            </w:tcBorders>
            <w:shd w:fill="EEF3FB" w:val="clear"/>
            <w:tcMar>
              <w:top w:type="dxa" w:w="130"/>
              <w:left w:type="dxa" w:w="180"/>
              <w:bottom w:type="dxa" w:w="130"/>
              <w:right w:type="dxa" w:w="160"/>
            </w:tcMar>
          </w:tcPr>
          <w:p>
            <w:pPr>
              <w:spacing w:after="70"/>
            </w:pPr>
            <w:r>
              <w:rPr>
                <w:rFonts w:ascii="Arial" w:cs="Arial" w:eastAsia="Arial" w:hAnsi="Arial"/>
                <w:b/>
                <w:bCs/>
                <w:color w:val="147E72"/>
                <w:sz w:val="16"/>
                <w:szCs w:val="16"/>
              </w:rPr>
              <w:t xml:space="preserve">SAY</w:t>
            </w:r>
          </w:p>
          <w:p>
            <w:pPr>
              <w:spacing w:after="0"/>
            </w:pPr>
            <w:r>
              <w:rPr>
                <w:rFonts w:ascii="Arial" w:cs="Arial" w:eastAsia="Arial" w:hAnsi="Arial"/>
                <w:color w:val="1A1A1A"/>
                <w:sz w:val="23"/>
                <w:szCs w:val="23"/>
              </w:rPr>
              <w:t xml:space="preserve">Hi, I’m Ashik. This is my submission for the Incubyte Software Craftsperson assessment - an automated test suite for the ParaBank sign-up and login flow, built with Playwright, TypeScript, BDD and the Page Object Model. It grew into 33 deep-testing scenarios that all pass. Let me walk you through it.</w:t>
            </w:r>
          </w:p>
        </w:tc>
      </w:tr>
    </w:tbl>
    <w:p>
      <w:pPr>
        <w:spacing w:after="140"/>
      </w:pPr>
      <w:r>
        <w:rPr>
          <w:rFonts w:ascii="Arial" w:cs="Arial" w:eastAsia="Arial" w:hAnsi="Arial"/>
        </w:rPr>
        <w:t xml:space="preserve"/>
      </w:r>
    </w:p>
    <w:p>
      <w:pPr>
        <w:pStyle w:val="Heading2"/>
        <w:spacing w:after="90" w:before="240"/>
      </w:pPr>
      <w:r>
        <w:rPr>
          <w:rFonts w:ascii="Arial" w:cs="Arial" w:eastAsia="Arial" w:hAnsi="Arial"/>
        </w:rPr>
        <w:t xml:space="preserve">Slide 2  ·  The Assignment</w:t>
      </w:r>
      <w:r>
        <w:rPr>
          <w:rFonts w:ascii="Arial" w:cs="Arial" w:eastAsia="Arial" w:hAnsi="Arial"/>
          <w:b/>
          <w:bCs/>
          <w:color w:val="147E72"/>
          <w:sz w:val="20"/>
          <w:szCs w:val="20"/>
        </w:rPr>
        <w:t xml:space="preserve">          target  0:38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47E72" w:sz="18"/>
              <w:bottom w:val="single" w:color="BFBFBF" w:sz="1"/>
              <w:right w:val="single" w:color="BFBFBF" w:sz="1"/>
            </w:tcBorders>
            <w:shd w:fill="EEF3FB" w:val="clear"/>
            <w:tcMar>
              <w:top w:type="dxa" w:w="130"/>
              <w:left w:type="dxa" w:w="180"/>
              <w:bottom w:type="dxa" w:w="130"/>
              <w:right w:type="dxa" w:w="160"/>
            </w:tcMar>
          </w:tcPr>
          <w:p>
            <w:pPr>
              <w:spacing w:after="70"/>
            </w:pPr>
            <w:r>
              <w:rPr>
                <w:rFonts w:ascii="Arial" w:cs="Arial" w:eastAsia="Arial" w:hAnsi="Arial"/>
                <w:b/>
                <w:bCs/>
                <w:color w:val="147E72"/>
                <w:sz w:val="16"/>
                <w:szCs w:val="16"/>
              </w:rPr>
              <w:t xml:space="preserve">SAY</w:t>
            </w:r>
          </w:p>
          <w:p>
            <w:pPr>
              <w:spacing w:after="0"/>
            </w:pPr>
            <w:r>
              <w:rPr>
                <w:rFonts w:ascii="Arial" w:cs="Arial" w:eastAsia="Arial" w:hAnsi="Arial"/>
                <w:color w:val="1A1A1A"/>
                <w:sz w:val="23"/>
                <w:szCs w:val="23"/>
              </w:rPr>
              <w:t xml:space="preserve">The core task was to automate signing up for a ParaBank account, signing in with it, and logging the balance shown after login. The deliverables: test cases in Excel, automation code on GitHub using BDD and the Page Object Model, multiple commits, and proof of execution. I treated it as a craftsmanship exercise and expanded the scope into deep testing across five test types.</w:t>
            </w:r>
          </w:p>
        </w:tc>
      </w:tr>
    </w:tbl>
    <w:p>
      <w:pPr>
        <w:spacing w:after="140"/>
      </w:pPr>
      <w:r>
        <w:rPr>
          <w:rFonts w:ascii="Arial" w:cs="Arial" w:eastAsia="Arial" w:hAnsi="Arial"/>
        </w:rPr>
        <w:t xml:space="preserve"/>
      </w:r>
    </w:p>
    <w:p>
      <w:pPr>
        <w:pStyle w:val="Heading2"/>
        <w:spacing w:after="90" w:before="240"/>
      </w:pPr>
      <w:r>
        <w:rPr>
          <w:rFonts w:ascii="Arial" w:cs="Arial" w:eastAsia="Arial" w:hAnsi="Arial"/>
        </w:rPr>
        <w:t xml:space="preserve">Slide 3  ·  The Application &amp; Core Flow</w:t>
      </w:r>
      <w:r>
        <w:rPr>
          <w:rFonts w:ascii="Arial" w:cs="Arial" w:eastAsia="Arial" w:hAnsi="Arial"/>
          <w:b/>
          <w:bCs/>
          <w:color w:val="147E72"/>
          <w:sz w:val="20"/>
          <w:szCs w:val="20"/>
        </w:rPr>
        <w:t xml:space="preserve">          target  0:35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47E72" w:sz="18"/>
              <w:bottom w:val="single" w:color="BFBFBF" w:sz="1"/>
              <w:right w:val="single" w:color="BFBFBF" w:sz="1"/>
            </w:tcBorders>
            <w:shd w:fill="EEF3FB" w:val="clear"/>
            <w:tcMar>
              <w:top w:type="dxa" w:w="130"/>
              <w:left w:type="dxa" w:w="180"/>
              <w:bottom w:type="dxa" w:w="130"/>
              <w:right w:type="dxa" w:w="160"/>
            </w:tcMar>
          </w:tcPr>
          <w:p>
            <w:pPr>
              <w:spacing w:after="70"/>
            </w:pPr>
            <w:r>
              <w:rPr>
                <w:rFonts w:ascii="Arial" w:cs="Arial" w:eastAsia="Arial" w:hAnsi="Arial"/>
                <w:b/>
                <w:bCs/>
                <w:color w:val="147E72"/>
                <w:sz w:val="16"/>
                <w:szCs w:val="16"/>
              </w:rPr>
              <w:t xml:space="preserve">SAY</w:t>
            </w:r>
          </w:p>
          <w:p>
            <w:pPr>
              <w:spacing w:after="0"/>
            </w:pPr>
            <w:r>
              <w:rPr>
                <w:rFonts w:ascii="Arial" w:cs="Arial" w:eastAsia="Arial" w:hAnsi="Arial"/>
                <w:color w:val="1A1A1A"/>
                <w:sz w:val="23"/>
                <w:szCs w:val="23"/>
              </w:rPr>
              <w:t xml:space="preserve">A quick word on the application. ParaBank is Parasoft’s public online-banking demo - a real registration form, a login, and account pages on a Java backend. The core flow is three steps: register a new account, sign in with it, and read the balance shown afterwards. That flow is the backbone of the suite.</w:t>
            </w:r>
          </w:p>
        </w:tc>
      </w:tr>
    </w:tbl>
    <w:p>
      <w:pPr>
        <w:spacing w:after="140"/>
      </w:pPr>
      <w:r>
        <w:rPr>
          <w:rFonts w:ascii="Arial" w:cs="Arial" w:eastAsia="Arial" w:hAnsi="Arial"/>
        </w:rPr>
        <w:t xml:space="preserve"/>
      </w:r>
    </w:p>
    <w:p>
      <w:pPr>
        <w:pStyle w:val="Heading2"/>
        <w:spacing w:after="90" w:before="240"/>
      </w:pPr>
      <w:r>
        <w:rPr>
          <w:rFonts w:ascii="Arial" w:cs="Arial" w:eastAsia="Arial" w:hAnsi="Arial"/>
        </w:rPr>
        <w:t xml:space="preserve">Slide 4  ·  Approach &amp; Tech Stack</w:t>
      </w:r>
      <w:r>
        <w:rPr>
          <w:rFonts w:ascii="Arial" w:cs="Arial" w:eastAsia="Arial" w:hAnsi="Arial"/>
          <w:b/>
          <w:bCs/>
          <w:color w:val="147E72"/>
          <w:sz w:val="20"/>
          <w:szCs w:val="20"/>
        </w:rPr>
        <w:t xml:space="preserve">          target  0:38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47E72" w:sz="18"/>
              <w:bottom w:val="single" w:color="BFBFBF" w:sz="1"/>
              <w:right w:val="single" w:color="BFBFBF" w:sz="1"/>
            </w:tcBorders>
            <w:shd w:fill="EEF3FB" w:val="clear"/>
            <w:tcMar>
              <w:top w:type="dxa" w:w="130"/>
              <w:left w:type="dxa" w:w="180"/>
              <w:bottom w:type="dxa" w:w="130"/>
              <w:right w:type="dxa" w:w="160"/>
            </w:tcMar>
          </w:tcPr>
          <w:p>
            <w:pPr>
              <w:spacing w:after="70"/>
            </w:pPr>
            <w:r>
              <w:rPr>
                <w:rFonts w:ascii="Arial" w:cs="Arial" w:eastAsia="Arial" w:hAnsi="Arial"/>
                <w:b/>
                <w:bCs/>
                <w:color w:val="147E72"/>
                <w:sz w:val="16"/>
                <w:szCs w:val="16"/>
              </w:rPr>
              <w:t xml:space="preserve">SAY</w:t>
            </w:r>
          </w:p>
          <w:p>
            <w:pPr>
              <w:spacing w:after="0"/>
            </w:pPr>
            <w:r>
              <w:rPr>
                <w:rFonts w:ascii="Arial" w:cs="Arial" w:eastAsia="Arial" w:hAnsi="Arial"/>
                <w:color w:val="1A1A1A"/>
                <w:sz w:val="23"/>
                <w:szCs w:val="23"/>
              </w:rPr>
              <w:t xml:space="preserve">The suite stands on three pillars. Playwright with TypeScript for fast, reliable, fully typed automation. BDD - every scenario is plain Gherkin, readable by anyone. And the Page Object Model, which keeps selectors inside page classes so the steps stay clean. The glue is playwright-bdd, which runs the Gherkin files on Playwright, plus fixtures that hand page objects to each step.</w:t>
            </w:r>
          </w:p>
        </w:tc>
      </w:tr>
    </w:tbl>
    <w:p>
      <w:pPr>
        <w:spacing w:after="140"/>
      </w:pPr>
      <w:r>
        <w:rPr>
          <w:rFonts w:ascii="Arial" w:cs="Arial" w:eastAsia="Arial" w:hAnsi="Arial"/>
        </w:rPr>
        <w:t xml:space="preserve"/>
      </w:r>
    </w:p>
    <w:p>
      <w:pPr>
        <w:pStyle w:val="Heading2"/>
        <w:spacing w:after="90" w:before="240"/>
      </w:pPr>
      <w:r>
        <w:rPr>
          <w:rFonts w:ascii="Arial" w:cs="Arial" w:eastAsia="Arial" w:hAnsi="Arial"/>
        </w:rPr>
        <w:t xml:space="preserve">Slide 5  ·  Framework Architecture</w:t>
      </w:r>
      <w:r>
        <w:rPr>
          <w:rFonts w:ascii="Arial" w:cs="Arial" w:eastAsia="Arial" w:hAnsi="Arial"/>
          <w:b/>
          <w:bCs/>
          <w:color w:val="147E72"/>
          <w:sz w:val="20"/>
          <w:szCs w:val="20"/>
        </w:rPr>
        <w:t xml:space="preserve">          target  0:35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47E72" w:sz="18"/>
              <w:bottom w:val="single" w:color="BFBFBF" w:sz="1"/>
              <w:right w:val="single" w:color="BFBFBF" w:sz="1"/>
            </w:tcBorders>
            <w:shd w:fill="EEF3FB" w:val="clear"/>
            <w:tcMar>
              <w:top w:type="dxa" w:w="130"/>
              <w:left w:type="dxa" w:w="180"/>
              <w:bottom w:type="dxa" w:w="130"/>
              <w:right w:type="dxa" w:w="160"/>
            </w:tcMar>
          </w:tcPr>
          <w:p>
            <w:pPr>
              <w:spacing w:after="70"/>
            </w:pPr>
            <w:r>
              <w:rPr>
                <w:rFonts w:ascii="Arial" w:cs="Arial" w:eastAsia="Arial" w:hAnsi="Arial"/>
                <w:b/>
                <w:bCs/>
                <w:color w:val="147E72"/>
                <w:sz w:val="16"/>
                <w:szCs w:val="16"/>
              </w:rPr>
              <w:t xml:space="preserve">SAY</w:t>
            </w:r>
          </w:p>
          <w:p>
            <w:pPr>
              <w:spacing w:after="0"/>
            </w:pPr>
            <w:r>
              <w:rPr>
                <w:rFonts w:ascii="Arial" w:cs="Arial" w:eastAsia="Arial" w:hAnsi="Arial"/>
                <w:color w:val="1A1A1A"/>
                <w:sz w:val="23"/>
                <w:szCs w:val="23"/>
              </w:rPr>
              <w:t xml:space="preserve">The framework is cleanly layered. Feature files describe the scenarios. Step definitions turn each Gherkin line into actions. Page objects hold the locators. At the end is the live application. This separation makes the suite readable, maintainable - a UI change is a one-place fix - repeatable, and reusable across all six feature files.</w:t>
            </w:r>
          </w:p>
        </w:tc>
      </w:tr>
    </w:tbl>
    <w:p>
      <w:pPr>
        <w:spacing w:after="140"/>
      </w:pPr>
      <w:r>
        <w:rPr>
          <w:rFonts w:ascii="Arial" w:cs="Arial" w:eastAsia="Arial" w:hAnsi="Arial"/>
        </w:rPr>
        <w:t xml:space="preserve"/>
      </w:r>
    </w:p>
    <w:p>
      <w:pPr>
        <w:pStyle w:val="Heading2"/>
        <w:spacing w:after="90" w:before="240"/>
      </w:pPr>
      <w:r>
        <w:rPr>
          <w:rFonts w:ascii="Arial" w:cs="Arial" w:eastAsia="Arial" w:hAnsi="Arial"/>
        </w:rPr>
        <w:t xml:space="preserve">Slide 6  ·  BDD in Action</w:t>
      </w:r>
      <w:r>
        <w:rPr>
          <w:rFonts w:ascii="Arial" w:cs="Arial" w:eastAsia="Arial" w:hAnsi="Arial"/>
          <w:b/>
          <w:bCs/>
          <w:color w:val="147E72"/>
          <w:sz w:val="20"/>
          <w:szCs w:val="20"/>
        </w:rPr>
        <w:t xml:space="preserve">          target  0:38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47E72" w:sz="18"/>
              <w:bottom w:val="single" w:color="BFBFBF" w:sz="1"/>
              <w:right w:val="single" w:color="BFBFBF" w:sz="1"/>
            </w:tcBorders>
            <w:shd w:fill="EEF3FB" w:val="clear"/>
            <w:tcMar>
              <w:top w:type="dxa" w:w="130"/>
              <w:left w:type="dxa" w:w="180"/>
              <w:bottom w:type="dxa" w:w="130"/>
              <w:right w:type="dxa" w:w="160"/>
            </w:tcMar>
          </w:tcPr>
          <w:p>
            <w:pPr>
              <w:spacing w:after="70"/>
            </w:pPr>
            <w:r>
              <w:rPr>
                <w:rFonts w:ascii="Arial" w:cs="Arial" w:eastAsia="Arial" w:hAnsi="Arial"/>
                <w:b/>
                <w:bCs/>
                <w:color w:val="147E72"/>
                <w:sz w:val="16"/>
                <w:szCs w:val="16"/>
              </w:rPr>
              <w:t xml:space="preserve">SAY</w:t>
            </w:r>
          </w:p>
          <w:p>
            <w:pPr>
              <w:spacing w:after="0"/>
            </w:pPr>
            <w:r>
              <w:rPr>
                <w:rFonts w:ascii="Arial" w:cs="Arial" w:eastAsia="Arial" w:hAnsi="Arial"/>
                <w:color w:val="1A1A1A"/>
                <w:sz w:val="23"/>
                <w:szCs w:val="23"/>
              </w:rPr>
              <w:t xml:space="preserve">Here is what BDD looks like in the suite. This is a real feature file - the scenario is plain Gherkin: Given, When, Then. It reads like a specification anyone can understand, yet Playwright executes these exact lines as an automated test. That readability is the whole point of BDD.</w:t>
            </w:r>
          </w:p>
        </w:tc>
      </w:tr>
    </w:tbl>
    <w:p>
      <w:pPr>
        <w:spacing w:after="140"/>
      </w:pPr>
      <w:r>
        <w:rPr>
          <w:rFonts w:ascii="Arial" w:cs="Arial" w:eastAsia="Arial" w:hAnsi="Arial"/>
        </w:rPr>
        <w:t xml:space="preserve"/>
      </w:r>
    </w:p>
    <w:p>
      <w:pPr>
        <w:pStyle w:val="Heading2"/>
        <w:spacing w:after="90" w:before="240"/>
      </w:pPr>
      <w:r>
        <w:rPr>
          <w:rFonts w:ascii="Arial" w:cs="Arial" w:eastAsia="Arial" w:hAnsi="Arial"/>
        </w:rPr>
        <w:t xml:space="preserve">Slide 7  ·  Page Object Model</w:t>
      </w:r>
      <w:r>
        <w:rPr>
          <w:rFonts w:ascii="Arial" w:cs="Arial" w:eastAsia="Arial" w:hAnsi="Arial"/>
          <w:b/>
          <w:bCs/>
          <w:color w:val="147E72"/>
          <w:sz w:val="20"/>
          <w:szCs w:val="20"/>
        </w:rPr>
        <w:t xml:space="preserve">          target  0:38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47E72" w:sz="18"/>
              <w:bottom w:val="single" w:color="BFBFBF" w:sz="1"/>
              <w:right w:val="single" w:color="BFBFBF" w:sz="1"/>
            </w:tcBorders>
            <w:shd w:fill="EEF3FB" w:val="clear"/>
            <w:tcMar>
              <w:top w:type="dxa" w:w="130"/>
              <w:left w:type="dxa" w:w="180"/>
              <w:bottom w:type="dxa" w:w="130"/>
              <w:right w:type="dxa" w:w="160"/>
            </w:tcMar>
          </w:tcPr>
          <w:p>
            <w:pPr>
              <w:spacing w:after="70"/>
            </w:pPr>
            <w:r>
              <w:rPr>
                <w:rFonts w:ascii="Arial" w:cs="Arial" w:eastAsia="Arial" w:hAnsi="Arial"/>
                <w:b/>
                <w:bCs/>
                <w:color w:val="147E72"/>
                <w:sz w:val="16"/>
                <w:szCs w:val="16"/>
              </w:rPr>
              <w:t xml:space="preserve">SAY</w:t>
            </w:r>
          </w:p>
          <w:p>
            <w:pPr>
              <w:spacing w:after="0"/>
            </w:pPr>
            <w:r>
              <w:rPr>
                <w:rFonts w:ascii="Arial" w:cs="Arial" w:eastAsia="Arial" w:hAnsi="Arial"/>
                <w:color w:val="1A1A1A"/>
                <w:sz w:val="23"/>
                <w:szCs w:val="23"/>
              </w:rPr>
              <w:t xml:space="preserve">And here is the Page Object Model. Each ParaBank page is a class that holds its locators and actions - here, the HomePage with a login method. Step definitions call these methods, never raw selectors. So if the UI changes, the fix is one line, in one place. There are five page objects, all extending a shared BasePage.</w:t>
            </w:r>
          </w:p>
        </w:tc>
      </w:tr>
    </w:tbl>
    <w:p>
      <w:pPr>
        <w:spacing w:after="140"/>
      </w:pPr>
      <w:r>
        <w:rPr>
          <w:rFonts w:ascii="Arial" w:cs="Arial" w:eastAsia="Arial" w:hAnsi="Arial"/>
        </w:rPr>
        <w:t xml:space="preserve"/>
      </w:r>
    </w:p>
    <w:p>
      <w:pPr>
        <w:pStyle w:val="Heading2"/>
        <w:spacing w:after="90" w:before="240"/>
      </w:pPr>
      <w:r>
        <w:rPr>
          <w:rFonts w:ascii="Arial" w:cs="Arial" w:eastAsia="Arial" w:hAnsi="Arial"/>
        </w:rPr>
        <w:t xml:space="preserve">Slide 8  ·  Test Coverage</w:t>
      </w:r>
      <w:r>
        <w:rPr>
          <w:rFonts w:ascii="Arial" w:cs="Arial" w:eastAsia="Arial" w:hAnsi="Arial"/>
          <w:b/>
          <w:bCs/>
          <w:color w:val="147E72"/>
          <w:sz w:val="20"/>
          <w:szCs w:val="20"/>
        </w:rPr>
        <w:t xml:space="preserve">          target  0:32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47E72" w:sz="18"/>
              <w:bottom w:val="single" w:color="BFBFBF" w:sz="1"/>
              <w:right w:val="single" w:color="BFBFBF" w:sz="1"/>
            </w:tcBorders>
            <w:shd w:fill="EEF3FB" w:val="clear"/>
            <w:tcMar>
              <w:top w:type="dxa" w:w="130"/>
              <w:left w:type="dxa" w:w="180"/>
              <w:bottom w:type="dxa" w:w="130"/>
              <w:right w:type="dxa" w:w="160"/>
            </w:tcMar>
          </w:tcPr>
          <w:p>
            <w:pPr>
              <w:spacing w:after="70"/>
            </w:pPr>
            <w:r>
              <w:rPr>
                <w:rFonts w:ascii="Arial" w:cs="Arial" w:eastAsia="Arial" w:hAnsi="Arial"/>
                <w:b/>
                <w:bCs/>
                <w:color w:val="147E72"/>
                <w:sz w:val="16"/>
                <w:szCs w:val="16"/>
              </w:rPr>
              <w:t xml:space="preserve">SAY</w:t>
            </w:r>
          </w:p>
          <w:p>
            <w:pPr>
              <w:spacing w:after="0"/>
            </w:pPr>
            <w:r>
              <w:rPr>
                <w:rFonts w:ascii="Arial" w:cs="Arial" w:eastAsia="Arial" w:hAnsi="Arial"/>
                <w:color w:val="1A1A1A"/>
                <w:sz w:val="23"/>
                <w:szCs w:val="23"/>
              </w:rPr>
              <w:t xml:space="preserve">Coverage. The suite has 33 automated test cases across six feature files. Six are core functional tests. Then the deep testing: eight boundary tests, nine security tests, five access-control tests, and five performance tests. Every single case is automated.</w:t>
            </w:r>
          </w:p>
        </w:tc>
      </w:tr>
    </w:tbl>
    <w:p>
      <w:pPr>
        <w:spacing w:after="140"/>
      </w:pPr>
      <w:r>
        <w:rPr>
          <w:rFonts w:ascii="Arial" w:cs="Arial" w:eastAsia="Arial" w:hAnsi="Arial"/>
        </w:rPr>
        <w:t xml:space="preserve"/>
      </w:r>
    </w:p>
    <w:p>
      <w:pPr>
        <w:pStyle w:val="Heading2"/>
        <w:spacing w:after="90" w:before="240"/>
      </w:pPr>
      <w:r>
        <w:rPr>
          <w:rFonts w:ascii="Arial" w:cs="Arial" w:eastAsia="Arial" w:hAnsi="Arial"/>
        </w:rPr>
        <w:t xml:space="preserve">Slide 9  ·  Deep Testing - Boundary &amp; Validation</w:t>
      </w:r>
      <w:r>
        <w:rPr>
          <w:rFonts w:ascii="Arial" w:cs="Arial" w:eastAsia="Arial" w:hAnsi="Arial"/>
          <w:b/>
          <w:bCs/>
          <w:color w:val="147E72"/>
          <w:sz w:val="20"/>
          <w:szCs w:val="20"/>
        </w:rPr>
        <w:t xml:space="preserve">          target  0:40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47E72" w:sz="18"/>
              <w:bottom w:val="single" w:color="BFBFBF" w:sz="1"/>
              <w:right w:val="single" w:color="BFBFBF" w:sz="1"/>
            </w:tcBorders>
            <w:shd w:fill="EEF3FB" w:val="clear"/>
            <w:tcMar>
              <w:top w:type="dxa" w:w="130"/>
              <w:left w:type="dxa" w:w="180"/>
              <w:bottom w:type="dxa" w:w="130"/>
              <w:right w:type="dxa" w:w="160"/>
            </w:tcMar>
          </w:tcPr>
          <w:p>
            <w:pPr>
              <w:spacing w:after="70"/>
            </w:pPr>
            <w:r>
              <w:rPr>
                <w:rFonts w:ascii="Arial" w:cs="Arial" w:eastAsia="Arial" w:hAnsi="Arial"/>
                <w:b/>
                <w:bCs/>
                <w:color w:val="147E72"/>
                <w:sz w:val="16"/>
                <w:szCs w:val="16"/>
              </w:rPr>
              <w:t xml:space="preserve">SAY</w:t>
            </w:r>
          </w:p>
          <w:p>
            <w:pPr>
              <w:spacing w:after="0"/>
            </w:pPr>
            <w:r>
              <w:rPr>
                <w:rFonts w:ascii="Arial" w:cs="Arial" w:eastAsia="Arial" w:hAnsi="Arial"/>
                <w:color w:val="1A1A1A"/>
                <w:sz w:val="23"/>
                <w:szCs w:val="23"/>
              </w:rPr>
              <w:t xml:space="preserve">Deep testing, part one - boundary and input validation. On registration: password mismatch, partial forms, minimum and maximum length values, and special characters. On login: empty username, empty password, and both empty. Boundary value analysis targets the edges of valid input - where defects most often hide.</w:t>
            </w:r>
          </w:p>
        </w:tc>
      </w:tr>
    </w:tbl>
    <w:p>
      <w:pPr>
        <w:spacing w:after="140"/>
      </w:pPr>
      <w:r>
        <w:rPr>
          <w:rFonts w:ascii="Arial" w:cs="Arial" w:eastAsia="Arial" w:hAnsi="Arial"/>
        </w:rPr>
        <w:t xml:space="preserve"/>
      </w:r>
    </w:p>
    <w:p>
      <w:pPr>
        <w:pStyle w:val="Heading2"/>
        <w:spacing w:after="90" w:before="240"/>
      </w:pPr>
      <w:r>
        <w:rPr>
          <w:rFonts w:ascii="Arial" w:cs="Arial" w:eastAsia="Arial" w:hAnsi="Arial"/>
        </w:rPr>
        <w:t xml:space="preserve">Slide 10  ·  Deep Testing - Security</w:t>
      </w:r>
      <w:r>
        <w:rPr>
          <w:rFonts w:ascii="Arial" w:cs="Arial" w:eastAsia="Arial" w:hAnsi="Arial"/>
          <w:b/>
          <w:bCs/>
          <w:color w:val="147E72"/>
          <w:sz w:val="20"/>
          <w:szCs w:val="20"/>
        </w:rPr>
        <w:t xml:space="preserve">          target  0:45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47E72" w:sz="18"/>
              <w:bottom w:val="single" w:color="BFBFBF" w:sz="1"/>
              <w:right w:val="single" w:color="BFBFBF" w:sz="1"/>
            </w:tcBorders>
            <w:shd w:fill="EEF3FB" w:val="clear"/>
            <w:tcMar>
              <w:top w:type="dxa" w:w="130"/>
              <w:left w:type="dxa" w:w="180"/>
              <w:bottom w:type="dxa" w:w="130"/>
              <w:right w:type="dxa" w:w="160"/>
            </w:tcMar>
          </w:tcPr>
          <w:p>
            <w:pPr>
              <w:spacing w:after="70"/>
            </w:pPr>
            <w:r>
              <w:rPr>
                <w:rFonts w:ascii="Arial" w:cs="Arial" w:eastAsia="Arial" w:hAnsi="Arial"/>
                <w:b/>
                <w:bCs/>
                <w:color w:val="147E72"/>
                <w:sz w:val="16"/>
                <w:szCs w:val="16"/>
              </w:rPr>
              <w:t xml:space="preserve">SAY</w:t>
            </w:r>
          </w:p>
          <w:p>
            <w:pPr>
              <w:spacing w:after="0"/>
            </w:pPr>
            <w:r>
              <w:rPr>
                <w:rFonts w:ascii="Arial" w:cs="Arial" w:eastAsia="Arial" w:hAnsi="Arial"/>
                <w:color w:val="1A1A1A"/>
                <w:sz w:val="23"/>
                <w:szCs w:val="23"/>
              </w:rPr>
              <w:t xml:space="preserve">Part two - security, the largest group at nine tests. Input masking on every password field. Injection defence - SQL injection in the login form and HTML injection on sign-up; the attack must not succeed. Transport and session - HTTPS, and a session cookie flagged HttpOnly. And auth hardening - login errors do not reveal whether a username exists, and repeated failed logins are consistently rejected.</w:t>
            </w:r>
          </w:p>
        </w:tc>
      </w:tr>
    </w:tbl>
    <w:p>
      <w:pPr>
        <w:spacing w:after="140"/>
      </w:pPr>
      <w:r>
        <w:rPr>
          <w:rFonts w:ascii="Arial" w:cs="Arial" w:eastAsia="Arial" w:hAnsi="Arial"/>
        </w:rPr>
        <w:t xml:space="preserve"/>
      </w:r>
    </w:p>
    <w:p>
      <w:pPr>
        <w:pStyle w:val="Heading2"/>
        <w:spacing w:after="90" w:before="240"/>
      </w:pPr>
      <w:r>
        <w:rPr>
          <w:rFonts w:ascii="Arial" w:cs="Arial" w:eastAsia="Arial" w:hAnsi="Arial"/>
        </w:rPr>
        <w:t xml:space="preserve">Slide 11  ·  Deep Testing - Access Control &amp; Performance</w:t>
      </w:r>
      <w:r>
        <w:rPr>
          <w:rFonts w:ascii="Arial" w:cs="Arial" w:eastAsia="Arial" w:hAnsi="Arial"/>
          <w:b/>
          <w:bCs/>
          <w:color w:val="147E72"/>
          <w:sz w:val="20"/>
          <w:szCs w:val="20"/>
        </w:rPr>
        <w:t xml:space="preserve">          target  0:42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47E72" w:sz="18"/>
              <w:bottom w:val="single" w:color="BFBFBF" w:sz="1"/>
              <w:right w:val="single" w:color="BFBFBF" w:sz="1"/>
            </w:tcBorders>
            <w:shd w:fill="EEF3FB" w:val="clear"/>
            <w:tcMar>
              <w:top w:type="dxa" w:w="130"/>
              <w:left w:type="dxa" w:w="180"/>
              <w:bottom w:type="dxa" w:w="130"/>
              <w:right w:type="dxa" w:w="160"/>
            </w:tcMar>
          </w:tcPr>
          <w:p>
            <w:pPr>
              <w:spacing w:after="70"/>
            </w:pPr>
            <w:r>
              <w:rPr>
                <w:rFonts w:ascii="Arial" w:cs="Arial" w:eastAsia="Arial" w:hAnsi="Arial"/>
                <w:b/>
                <w:bCs/>
                <w:color w:val="147E72"/>
                <w:sz w:val="16"/>
                <w:szCs w:val="16"/>
              </w:rPr>
              <w:t xml:space="preserve">SAY</w:t>
            </w:r>
          </w:p>
          <w:p>
            <w:pPr>
              <w:spacing w:after="0"/>
            </w:pPr>
            <w:r>
              <w:rPr>
                <w:rFonts w:ascii="Arial" w:cs="Arial" w:eastAsia="Arial" w:hAnsi="Arial"/>
                <w:color w:val="1A1A1A"/>
                <w:sz w:val="23"/>
                <w:szCs w:val="23"/>
              </w:rPr>
              <w:t xml:space="preserve">Part three - access control and performance. Access control proves protected pages cannot be reached without signing in, or after logging out, and that a valid session persists across navigation. Performance measures five page-load and action timings, logged against generous soft budgets suited to the slow JPA backend.</w:t>
            </w:r>
          </w:p>
        </w:tc>
      </w:tr>
    </w:tbl>
    <w:p>
      <w:pPr>
        <w:spacing w:after="140"/>
      </w:pPr>
      <w:r>
        <w:rPr>
          <w:rFonts w:ascii="Arial" w:cs="Arial" w:eastAsia="Arial" w:hAnsi="Arial"/>
        </w:rPr>
        <w:t xml:space="preserve"/>
      </w:r>
    </w:p>
    <w:p>
      <w:pPr>
        <w:pStyle w:val="Heading2"/>
        <w:spacing w:after="90" w:before="240"/>
      </w:pPr>
      <w:r>
        <w:rPr>
          <w:rFonts w:ascii="Arial" w:cs="Arial" w:eastAsia="Arial" w:hAnsi="Arial"/>
        </w:rPr>
        <w:t xml:space="preserve">Slide 12  ·  Live Demo</w:t>
      </w:r>
      <w:r>
        <w:rPr>
          <w:rFonts w:ascii="Arial" w:cs="Arial" w:eastAsia="Arial" w:hAnsi="Arial"/>
          <w:b/>
          <w:bCs/>
          <w:color w:val="147E72"/>
          <w:sz w:val="20"/>
          <w:szCs w:val="20"/>
        </w:rPr>
        <w:t xml:space="preserve">          target  2:30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47E72" w:sz="18"/>
              <w:bottom w:val="single" w:color="BFBFBF" w:sz="1"/>
              <w:right w:val="single" w:color="BFBFBF" w:sz="1"/>
            </w:tcBorders>
            <w:shd w:fill="EEF3FB" w:val="clear"/>
            <w:tcMar>
              <w:top w:type="dxa" w:w="130"/>
              <w:left w:type="dxa" w:w="180"/>
              <w:bottom w:type="dxa" w:w="130"/>
              <w:right w:type="dxa" w:w="160"/>
            </w:tcMar>
          </w:tcPr>
          <w:p>
            <w:pPr>
              <w:spacing w:after="70"/>
            </w:pPr>
            <w:r>
              <w:rPr>
                <w:rFonts w:ascii="Arial" w:cs="Arial" w:eastAsia="Arial" w:hAnsi="Arial"/>
                <w:b/>
                <w:bCs/>
                <w:color w:val="147E72"/>
                <w:sz w:val="16"/>
                <w:szCs w:val="16"/>
              </w:rPr>
              <w:t xml:space="preserve">SAY</w:t>
            </w:r>
          </w:p>
          <w:p>
            <w:pPr>
              <w:spacing w:after="0"/>
            </w:pPr>
            <w:r>
              <w:rPr>
                <w:rFonts w:ascii="Arial" w:cs="Arial" w:eastAsia="Arial" w:hAnsi="Arial"/>
                <w:color w:val="1A1A1A"/>
                <w:sz w:val="23"/>
                <w:szCs w:val="23"/>
              </w:rPr>
              <w:t xml:space="preserve">Now let me show the suite actually running.   [Switch to the screen recording and narrate lightly as you go - keep this segment around two and a half minutes.]</w:t>
            </w:r>
          </w:p>
        </w:tc>
      </w:tr>
    </w:tbl>
    <w:p>
      <w:pPr>
        <w:spacing w:after="20" w:before="120"/>
      </w:pPr>
      <w:r>
        <w:rPr>
          <w:rFonts w:ascii="Arial" w:cs="Arial" w:eastAsia="Arial" w:hAnsi="Arial"/>
          <w:b/>
          <w:bCs/>
          <w:color w:val="2F5496"/>
          <w:sz w:val="16"/>
          <w:szCs w:val="16"/>
        </w:rPr>
        <w:t xml:space="preserve">DO  (screen actions)</w:t>
      </w:r>
    </w:p>
    <w:p>
      <w:pPr>
        <w:pStyle w:val="ListParagraph"/>
        <w:numPr>
          <w:ilvl w:val="0"/>
          <w:numId w:val="3"/>
        </w:numPr>
        <w:spacing w:after="60" w:before="80"/>
      </w:pPr>
      <w:r>
        <w:rPr>
          <w:rFonts w:ascii="Arial" w:cs="Arial" w:eastAsia="Arial" w:hAnsi="Arial"/>
          <w:sz w:val="21"/>
          <w:szCs w:val="21"/>
        </w:rPr>
        <w:t xml:space="preserve">Run "npm test" - show bddgen compiling the features, then scenarios passing in the terminal.</w:t>
      </w:r>
    </w:p>
    <w:p>
      <w:pPr>
        <w:pStyle w:val="ListParagraph"/>
        <w:numPr>
          <w:ilvl w:val="0"/>
          <w:numId w:val="3"/>
        </w:numPr>
        <w:spacing w:after="60" w:before="0"/>
      </w:pPr>
      <w:r>
        <w:rPr>
          <w:rFonts w:ascii="Arial" w:cs="Arial" w:eastAsia="Arial" w:hAnsi="Arial"/>
          <w:sz w:val="21"/>
          <w:szCs w:val="21"/>
        </w:rPr>
        <w:t xml:space="preserve">Show one registration scenario in the browser - the form being filled, submitted, and the result read.</w:t>
      </w:r>
    </w:p>
    <w:p>
      <w:pPr>
        <w:pStyle w:val="ListParagraph"/>
        <w:numPr>
          <w:ilvl w:val="0"/>
          <w:numId w:val="3"/>
        </w:numPr>
        <w:spacing w:after="60" w:before="0"/>
      </w:pPr>
      <w:r>
        <w:rPr>
          <w:rFonts w:ascii="Arial" w:cs="Arial" w:eastAsia="Arial" w:hAnsi="Arial"/>
          <w:sz w:val="21"/>
          <w:szCs w:val="21"/>
        </w:rPr>
        <w:t xml:space="preserve">Open the Monocart HTML report - click into one test to show its video, screenshots and trace.</w:t>
      </w:r>
    </w:p>
    <w:p>
      <w:pPr>
        <w:pStyle w:val="ListParagraph"/>
        <w:numPr>
          <w:ilvl w:val="0"/>
          <w:numId w:val="3"/>
        </w:numPr>
        <w:spacing w:after="60" w:before="0"/>
      </w:pPr>
      <w:r>
        <w:rPr>
          <w:rFonts w:ascii="Arial" w:cs="Arial" w:eastAsia="Arial" w:hAnsi="Arial"/>
          <w:sz w:val="21"/>
          <w:szCs w:val="21"/>
        </w:rPr>
        <w:t xml:space="preserve">Briefly open ParaBank_Test_Cases.xlsx so the viewer sees the documented test cases.</w:t>
      </w:r>
    </w:p>
    <w:p>
      <w:pPr>
        <w:pStyle w:val="ListParagraph"/>
        <w:numPr>
          <w:ilvl w:val="0"/>
          <w:numId w:val="3"/>
        </w:numPr>
        <w:spacing w:after="60" w:before="0"/>
      </w:pPr>
      <w:r>
        <w:rPr>
          <w:rFonts w:ascii="Arial" w:cs="Arial" w:eastAsia="Arial" w:hAnsi="Arial"/>
          <w:sz w:val="21"/>
          <w:szCs w:val="21"/>
        </w:rPr>
        <w:t xml:space="preserve">Then return to the slides for the wrap-up.</w:t>
      </w:r>
    </w:p>
    <w:p>
      <w:pPr>
        <w:spacing w:after="140"/>
      </w:pPr>
      <w:r>
        <w:rPr>
          <w:rFonts w:ascii="Arial" w:cs="Arial" w:eastAsia="Arial" w:hAnsi="Arial"/>
        </w:rPr>
        <w:t xml:space="preserve"/>
      </w:r>
    </w:p>
    <w:p>
      <w:pPr>
        <w:pStyle w:val="Heading2"/>
        <w:spacing w:after="90" w:before="240"/>
      </w:pPr>
      <w:r>
        <w:rPr>
          <w:rFonts w:ascii="Arial" w:cs="Arial" w:eastAsia="Arial" w:hAnsi="Arial"/>
        </w:rPr>
        <w:t xml:space="preserve">Slide 13  ·  Results</w:t>
      </w:r>
      <w:r>
        <w:rPr>
          <w:rFonts w:ascii="Arial" w:cs="Arial" w:eastAsia="Arial" w:hAnsi="Arial"/>
          <w:b/>
          <w:bCs/>
          <w:color w:val="147E72"/>
          <w:sz w:val="20"/>
          <w:szCs w:val="20"/>
        </w:rPr>
        <w:t xml:space="preserve">          target  0:32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47E72" w:sz="18"/>
              <w:bottom w:val="single" w:color="BFBFBF" w:sz="1"/>
              <w:right w:val="single" w:color="BFBFBF" w:sz="1"/>
            </w:tcBorders>
            <w:shd w:fill="EEF3FB" w:val="clear"/>
            <w:tcMar>
              <w:top w:type="dxa" w:w="130"/>
              <w:left w:type="dxa" w:w="180"/>
              <w:bottom w:type="dxa" w:w="130"/>
              <w:right w:type="dxa" w:w="160"/>
            </w:tcMar>
          </w:tcPr>
          <w:p>
            <w:pPr>
              <w:spacing w:after="70"/>
            </w:pPr>
            <w:r>
              <w:rPr>
                <w:rFonts w:ascii="Arial" w:cs="Arial" w:eastAsia="Arial" w:hAnsi="Arial"/>
                <w:b/>
                <w:bCs/>
                <w:color w:val="147E72"/>
                <w:sz w:val="16"/>
                <w:szCs w:val="16"/>
              </w:rPr>
              <w:t xml:space="preserve">SAY</w:t>
            </w:r>
          </w:p>
          <w:p>
            <w:pPr>
              <w:spacing w:after="0"/>
            </w:pPr>
            <w:r>
              <w:rPr>
                <w:rFonts w:ascii="Arial" w:cs="Arial" w:eastAsia="Arial" w:hAnsi="Arial"/>
                <w:color w:val="1A1A1A"/>
                <w:sz w:val="23"/>
                <w:szCs w:val="23"/>
              </w:rPr>
              <w:t xml:space="preserve">The results. The full suite ran on the 24th of May - 33 of 33 scenarios passed, zero failures, in about 141 seconds, and it is 100 percent automated. One command runs everything, in Chromium, serially for a stable shared environment, with unique data on every run.</w:t>
            </w:r>
          </w:p>
        </w:tc>
      </w:tr>
    </w:tbl>
    <w:p>
      <w:pPr>
        <w:spacing w:after="140"/>
      </w:pPr>
      <w:r>
        <w:rPr>
          <w:rFonts w:ascii="Arial" w:cs="Arial" w:eastAsia="Arial" w:hAnsi="Arial"/>
        </w:rPr>
        <w:t xml:space="preserve"/>
      </w:r>
    </w:p>
    <w:p>
      <w:pPr>
        <w:pStyle w:val="Heading2"/>
        <w:spacing w:after="90" w:before="240"/>
      </w:pPr>
      <w:r>
        <w:rPr>
          <w:rFonts w:ascii="Arial" w:cs="Arial" w:eastAsia="Arial" w:hAnsi="Arial"/>
        </w:rPr>
        <w:t xml:space="preserve">Slide 14  ·  Reporting &amp; Evidence</w:t>
      </w:r>
      <w:r>
        <w:rPr>
          <w:rFonts w:ascii="Arial" w:cs="Arial" w:eastAsia="Arial" w:hAnsi="Arial"/>
          <w:b/>
          <w:bCs/>
          <w:color w:val="147E72"/>
          <w:sz w:val="20"/>
          <w:szCs w:val="20"/>
        </w:rPr>
        <w:t xml:space="preserve">          target  0:35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47E72" w:sz="18"/>
              <w:bottom w:val="single" w:color="BFBFBF" w:sz="1"/>
              <w:right w:val="single" w:color="BFBFBF" w:sz="1"/>
            </w:tcBorders>
            <w:shd w:fill="EEF3FB" w:val="clear"/>
            <w:tcMar>
              <w:top w:type="dxa" w:w="130"/>
              <w:left w:type="dxa" w:w="180"/>
              <w:bottom w:type="dxa" w:w="130"/>
              <w:right w:type="dxa" w:w="160"/>
            </w:tcMar>
          </w:tcPr>
          <w:p>
            <w:pPr>
              <w:spacing w:after="70"/>
            </w:pPr>
            <w:r>
              <w:rPr>
                <w:rFonts w:ascii="Arial" w:cs="Arial" w:eastAsia="Arial" w:hAnsi="Arial"/>
                <w:b/>
                <w:bCs/>
                <w:color w:val="147E72"/>
                <w:sz w:val="16"/>
                <w:szCs w:val="16"/>
              </w:rPr>
              <w:t xml:space="preserve">SAY</w:t>
            </w:r>
          </w:p>
          <w:p>
            <w:pPr>
              <w:spacing w:after="0"/>
            </w:pPr>
            <w:r>
              <w:rPr>
                <w:rFonts w:ascii="Arial" w:cs="Arial" w:eastAsia="Arial" w:hAnsi="Arial"/>
                <w:color w:val="1A1A1A"/>
                <w:sz w:val="23"/>
                <w:szCs w:val="23"/>
              </w:rPr>
              <w:t xml:space="preserve">Reporting. Every run documents itself. The Monocart HTML report is interactive - browse every scenario. There is a video for every test, step screenshots and a full trace, a KPI dashboard, a plain-English summary, and logs for the balance, performance and security checks. Open the report and you see exactly what happened - that is the proof of execution.</w:t>
            </w:r>
          </w:p>
        </w:tc>
      </w:tr>
    </w:tbl>
    <w:p>
      <w:pPr>
        <w:spacing w:after="140"/>
      </w:pPr>
      <w:r>
        <w:rPr>
          <w:rFonts w:ascii="Arial" w:cs="Arial" w:eastAsia="Arial" w:hAnsi="Arial"/>
        </w:rPr>
        <w:t xml:space="preserve"/>
      </w:r>
    </w:p>
    <w:p>
      <w:pPr>
        <w:pStyle w:val="Heading2"/>
        <w:spacing w:after="90" w:before="240"/>
      </w:pPr>
      <w:r>
        <w:rPr>
          <w:rFonts w:ascii="Arial" w:cs="Arial" w:eastAsia="Arial" w:hAnsi="Arial"/>
        </w:rPr>
        <w:t xml:space="preserve">Slide 15  ·  Security Finding</w:t>
      </w:r>
      <w:r>
        <w:rPr>
          <w:rFonts w:ascii="Arial" w:cs="Arial" w:eastAsia="Arial" w:hAnsi="Arial"/>
          <w:b/>
          <w:bCs/>
          <w:color w:val="147E72"/>
          <w:sz w:val="20"/>
          <w:szCs w:val="20"/>
        </w:rPr>
        <w:t xml:space="preserve">          target  0:42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47E72" w:sz="18"/>
              <w:bottom w:val="single" w:color="BFBFBF" w:sz="1"/>
              <w:right w:val="single" w:color="BFBFBF" w:sz="1"/>
            </w:tcBorders>
            <w:shd w:fill="EEF3FB" w:val="clear"/>
            <w:tcMar>
              <w:top w:type="dxa" w:w="130"/>
              <w:left w:type="dxa" w:w="180"/>
              <w:bottom w:type="dxa" w:w="130"/>
              <w:right w:type="dxa" w:w="160"/>
            </w:tcMar>
          </w:tcPr>
          <w:p>
            <w:pPr>
              <w:spacing w:after="70"/>
            </w:pPr>
            <w:r>
              <w:rPr>
                <w:rFonts w:ascii="Arial" w:cs="Arial" w:eastAsia="Arial" w:hAnsi="Arial"/>
                <w:b/>
                <w:bCs/>
                <w:color w:val="147E72"/>
                <w:sz w:val="16"/>
                <w:szCs w:val="16"/>
              </w:rPr>
              <w:t xml:space="preserve">SAY</w:t>
            </w:r>
          </w:p>
          <w:p>
            <w:pPr>
              <w:spacing w:after="0"/>
            </w:pPr>
            <w:r>
              <w:rPr>
                <w:rFonts w:ascii="Arial" w:cs="Arial" w:eastAsia="Arial" w:hAnsi="Arial"/>
                <w:color w:val="1A1A1A"/>
                <w:sz w:val="23"/>
                <w:szCs w:val="23"/>
              </w:rPr>
              <w:t xml:space="preserve">One finding I want to call out. The security suite caught a real defect - a stored cross-site-scripting vulnerability in the registration first-name field; ParaBank renders that field without escaping it. My test asserts the secure expectation, so against the vulnerable site it fails - and I tagged it as an expected failure, so the defect is tracked while the suite stays green. A security test that catches a genuine vulnerability is doing exactly its job.</w:t>
            </w:r>
          </w:p>
        </w:tc>
      </w:tr>
    </w:tbl>
    <w:p>
      <w:pPr>
        <w:spacing w:after="140"/>
      </w:pPr>
      <w:r>
        <w:rPr>
          <w:rFonts w:ascii="Arial" w:cs="Arial" w:eastAsia="Arial" w:hAnsi="Arial"/>
        </w:rPr>
        <w:t xml:space="preserve"/>
      </w:r>
    </w:p>
    <w:p>
      <w:pPr>
        <w:pStyle w:val="Heading2"/>
        <w:spacing w:after="90" w:before="240"/>
      </w:pPr>
      <w:r>
        <w:rPr>
          <w:rFonts w:ascii="Arial" w:cs="Arial" w:eastAsia="Arial" w:hAnsi="Arial"/>
        </w:rPr>
        <w:t xml:space="preserve">Slide 16  ·  Deliverables</w:t>
      </w:r>
      <w:r>
        <w:rPr>
          <w:rFonts w:ascii="Arial" w:cs="Arial" w:eastAsia="Arial" w:hAnsi="Arial"/>
          <w:b/>
          <w:bCs/>
          <w:color w:val="147E72"/>
          <w:sz w:val="20"/>
          <w:szCs w:val="20"/>
        </w:rPr>
        <w:t xml:space="preserve">          target  0:32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47E72" w:sz="18"/>
              <w:bottom w:val="single" w:color="BFBFBF" w:sz="1"/>
              <w:right w:val="single" w:color="BFBFBF" w:sz="1"/>
            </w:tcBorders>
            <w:shd w:fill="EEF3FB" w:val="clear"/>
            <w:tcMar>
              <w:top w:type="dxa" w:w="130"/>
              <w:left w:type="dxa" w:w="180"/>
              <w:bottom w:type="dxa" w:w="130"/>
              <w:right w:type="dxa" w:w="160"/>
            </w:tcMar>
          </w:tcPr>
          <w:p>
            <w:pPr>
              <w:spacing w:after="70"/>
            </w:pPr>
            <w:r>
              <w:rPr>
                <w:rFonts w:ascii="Arial" w:cs="Arial" w:eastAsia="Arial" w:hAnsi="Arial"/>
                <w:b/>
                <w:bCs/>
                <w:color w:val="147E72"/>
                <w:sz w:val="16"/>
                <w:szCs w:val="16"/>
              </w:rPr>
              <w:t xml:space="preserve">SAY</w:t>
            </w:r>
          </w:p>
          <w:p>
            <w:pPr>
              <w:spacing w:after="0"/>
            </w:pPr>
            <w:r>
              <w:rPr>
                <w:rFonts w:ascii="Arial" w:cs="Arial" w:eastAsia="Arial" w:hAnsi="Arial"/>
                <w:color w:val="1A1A1A"/>
                <w:sz w:val="23"/>
                <w:szCs w:val="23"/>
              </w:rPr>
              <w:t xml:space="preserve">So, everything that ships: the automation suite, the Excel test-case workbook, a Word test plan, the GitHub repository with an incremental commit history, a CI pipeline that runs the suite on every push, and rich reporting. Throughout, I focused on craftsmanship - typed code, small reviewable commits, reusable steps, repeatable data, and clear documentation.</w:t>
            </w:r>
          </w:p>
        </w:tc>
      </w:tr>
    </w:tbl>
    <w:p>
      <w:pPr>
        <w:spacing w:after="140"/>
      </w:pPr>
      <w:r>
        <w:rPr>
          <w:rFonts w:ascii="Arial" w:cs="Arial" w:eastAsia="Arial" w:hAnsi="Arial"/>
        </w:rPr>
        <w:t xml:space="preserve"/>
      </w:r>
    </w:p>
    <w:p>
      <w:pPr>
        <w:pStyle w:val="Heading2"/>
        <w:spacing w:after="90" w:before="240"/>
      </w:pPr>
      <w:r>
        <w:rPr>
          <w:rFonts w:ascii="Arial" w:cs="Arial" w:eastAsia="Arial" w:hAnsi="Arial"/>
        </w:rPr>
        <w:t xml:space="preserve">Slide 17  ·  Closing</w:t>
      </w:r>
      <w:r>
        <w:rPr>
          <w:rFonts w:ascii="Arial" w:cs="Arial" w:eastAsia="Arial" w:hAnsi="Arial"/>
          <w:b/>
          <w:bCs/>
          <w:color w:val="147E72"/>
          <w:sz w:val="20"/>
          <w:szCs w:val="20"/>
        </w:rPr>
        <w:t xml:space="preserve">          target  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47E72" w:sz="18"/>
              <w:bottom w:val="single" w:color="BFBFBF" w:sz="1"/>
              <w:right w:val="single" w:color="BFBFBF" w:sz="1"/>
            </w:tcBorders>
            <w:shd w:fill="EEF3FB" w:val="clear"/>
            <w:tcMar>
              <w:top w:type="dxa" w:w="130"/>
              <w:left w:type="dxa" w:w="180"/>
              <w:bottom w:type="dxa" w:w="130"/>
              <w:right w:type="dxa" w:w="160"/>
            </w:tcMar>
          </w:tcPr>
          <w:p>
            <w:pPr>
              <w:spacing w:after="70"/>
            </w:pPr>
            <w:r>
              <w:rPr>
                <w:rFonts w:ascii="Arial" w:cs="Arial" w:eastAsia="Arial" w:hAnsi="Arial"/>
                <w:b/>
                <w:bCs/>
                <w:color w:val="147E72"/>
                <w:sz w:val="16"/>
                <w:szCs w:val="16"/>
              </w:rPr>
              <w:t xml:space="preserve">SAY</w:t>
            </w:r>
          </w:p>
          <w:p>
            <w:pPr>
              <w:spacing w:after="0"/>
            </w:pPr>
            <w:r>
              <w:rPr>
                <w:rFonts w:ascii="Arial" w:cs="Arial" w:eastAsia="Arial" w:hAnsi="Arial"/>
                <w:color w:val="1A1A1A"/>
                <w:sz w:val="23"/>
                <w:szCs w:val="23"/>
              </w:rPr>
              <w:t xml:space="preserve">To recap: 33 deep-testing scenarios spanning functional, boundary, security, access-control and performance; built with BDD and the Page Object Model; a fully green run with proof of execution; and a real security finding the suite caught and tracked. Thank you for watching - I’m happy to walk through any part of the code or the report.</w:t>
            </w:r>
          </w:p>
        </w:tc>
      </w:tr>
    </w:tbl>
    <w:p>
      <w:pPr>
        <w:spacing w:after="140"/>
      </w:pPr>
      <w:r>
        <w:rPr>
          <w:rFonts w:ascii="Arial" w:cs="Arial" w:eastAsia="Arial" w:hAnsi="Arial"/>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Ashik Mohamed   -   </w:t>
    </w:r>
    <w:r>
      <w:rPr>
        <w:rFonts w:ascii="Arial" w:cs="Arial" w:eastAsia="Arial" w:hAnsi="Arial"/>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Arial" w:cs="Arial" w:eastAsia="Arial" w:hAnsi="Arial"/>
        <w:color w:val="595959"/>
        <w:sz w:val="16"/>
        <w:szCs w:val="16"/>
      </w:rPr>
      <w:t xml:space="preserve">Demo Script  |  ParaBank Automation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320"/>
      </w:pPr>
    </w:lvl>
  </w:abstractNum>
  <w:abstractNum w:abstractNumId="3"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F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Presentation Script - ParaBank Automation Demo</dc:title>
  <dc:creator>Ashik Mohamed</dc:creator>
  <cp:lastModifiedBy>Un-named</cp:lastModifiedBy>
  <cp:revision>1</cp:revision>
  <dcterms:created xsi:type="dcterms:W3CDTF">2026-05-24T20:42:26.813Z</dcterms:created>
  <dcterms:modified xsi:type="dcterms:W3CDTF">2026-05-24T20:42:26.814Z</dcterms:modified>
</cp:coreProperties>
</file>

<file path=docProps/custom.xml><?xml version="1.0" encoding="utf-8"?>
<Properties xmlns="http://schemas.openxmlformats.org/officeDocument/2006/custom-properties" xmlns:vt="http://schemas.openxmlformats.org/officeDocument/2006/docPropsVTypes"/>
</file>