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Arial" w:cs="Arial" w:eastAsia="Arial" w:hAnsi="Arial"/>
          <w:b/>
          <w:bCs/>
          <w:color w:val="1F3864"/>
          <w:sz w:val="50"/>
          <w:szCs w:val="50"/>
        </w:rPr>
        <w:t xml:space="preserve">PRESENTATION SCRIPT</w:t>
      </w:r>
    </w:p>
    <w:p>
      <w:pPr>
        <w:spacing w:after="0" w:before="110"/>
        <w:jc w:val="center"/>
      </w:pPr>
      <w:r>
        <w:rPr>
          <w:rFonts w:ascii="Arial" w:cs="Arial" w:eastAsia="Arial" w:hAnsi="Arial"/>
          <w:b/>
          <w:bCs/>
          <w:color w:val="2F5496"/>
          <w:sz w:val="30"/>
          <w:szCs w:val="30"/>
        </w:rPr>
        <w:t xml:space="preserve">ParaBank Automation - Demo Video Narration</w:t>
      </w:r>
    </w:p>
    <w:p>
      <w:pPr>
        <w:spacing w:after="700" w:before="60"/>
        <w:jc w:val="center"/>
      </w:pPr>
      <w:r>
        <w:rPr>
          <w:rFonts w:ascii="Arial" w:cs="Arial" w:eastAsia="Arial" w:hAnsi="Arial"/>
          <w:i/>
          <w:iCs/>
          <w:color w:val="595959"/>
          <w:sz w:val="22"/>
          <w:szCs w:val="22"/>
        </w:rPr>
        <w:t xml:space="preserve">Crisp, slide-by-slide script for a 10-12 minute recorded walkthrough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Deliverable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Demo video narration script</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Companion deck</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ParaBank_Assessment_Demo.pptx (17 slides)</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Target length</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10 - 12 minutes</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Presenter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Ashik Mohamed</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Date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24 May 2026</w:t>
            </w:r>
          </w:p>
        </w:tc>
      </w:tr>
    </w:tbl>
    <w:p>
      <w:r>
        <w:br w:type="page"/>
      </w:r>
    </w:p>
    <w:p>
      <w:pPr>
        <w:pStyle w:val="Heading1"/>
      </w:pPr>
      <w:r>
        <w:rPr>
          <w:rFonts w:ascii="Arial" w:cs="Arial" w:eastAsia="Arial" w:hAnsi="Arial"/>
        </w:rPr>
        <w:t xml:space="preserve">How to use this script</w:t>
      </w:r>
    </w:p>
    <w:p>
      <w:pPr>
        <w:spacing w:after="120"/>
      </w:pPr>
      <w:r>
        <w:rPr>
          <w:rFonts w:ascii="Arial" w:cs="Arial" w:eastAsia="Arial" w:hAnsi="Arial"/>
        </w:rPr>
        <w:t xml:space="preserve">Each slide has a SAY block - the words to narrate - kept short and crisp. Slide 12 also has a DO block listing the live-demo screen actions. Speak naturally at about 135 words per minute; the script is a guide, not a word-for-word cue card.</w:t>
      </w:r>
    </w:p>
    <w:p>
      <w:pPr>
        <w:pStyle w:val="ListParagraph"/>
        <w:numPr>
          <w:ilvl w:val="0"/>
          <w:numId w:val="2"/>
        </w:numPr>
        <w:spacing w:after="60"/>
      </w:pPr>
      <w:r>
        <w:rPr>
          <w:rFonts w:ascii="Arial" w:cs="Arial" w:eastAsia="Arial" w:hAnsi="Arial"/>
          <w:sz w:val="21"/>
          <w:szCs w:val="21"/>
        </w:rPr>
        <w:t xml:space="preserve">The deck runs 17 slides; the narration plus the live demo totals about 12 minutes - comfortably over the 10-minute minimum.</w:t>
      </w:r>
    </w:p>
    <w:p>
      <w:pPr>
        <w:pStyle w:val="ListParagraph"/>
        <w:numPr>
          <w:ilvl w:val="0"/>
          <w:numId w:val="2"/>
        </w:numPr>
        <w:spacing w:after="60"/>
      </w:pPr>
      <w:r>
        <w:rPr>
          <w:rFonts w:ascii="Arial" w:cs="Arial" w:eastAsia="Arial" w:hAnsi="Arial"/>
          <w:sz w:val="21"/>
          <w:szCs w:val="21"/>
        </w:rPr>
        <w:t xml:space="preserve">Slide 12 is the live demo - the longest segment. Record the suite running separately and splice it in, or present it live.</w:t>
      </w:r>
    </w:p>
    <w:p>
      <w:pPr>
        <w:pStyle w:val="ListParagraph"/>
        <w:numPr>
          <w:ilvl w:val="0"/>
          <w:numId w:val="2"/>
        </w:numPr>
        <w:spacing w:after="60"/>
      </w:pPr>
      <w:r>
        <w:rPr>
          <w:rFonts w:ascii="Arial" w:cs="Arial" w:eastAsia="Arial" w:hAnsi="Arial"/>
          <w:sz w:val="21"/>
          <w:szCs w:val="21"/>
        </w:rPr>
        <w:t xml:space="preserve">If you run long, trim the demo first; if short, expand the demo narration.</w:t>
      </w:r>
    </w:p>
    <w:p>
      <w:pPr>
        <w:pStyle w:val="ListParagraph"/>
        <w:numPr>
          <w:ilvl w:val="0"/>
          <w:numId w:val="2"/>
        </w:numPr>
        <w:spacing w:after="200"/>
      </w:pPr>
      <w:r>
        <w:rPr>
          <w:rFonts w:ascii="Arial" w:cs="Arial" w:eastAsia="Arial" w:hAnsi="Arial"/>
          <w:sz w:val="21"/>
          <w:szCs w:val="21"/>
        </w:rPr>
        <w:t xml:space="preserve">The same narration is in each slide’s Notes panel inside the .pptx.</w:t>
      </w:r>
    </w:p>
    <w:p>
      <w:pPr>
        <w:pStyle w:val="Heading1"/>
      </w:pPr>
      <w:r>
        <w:rPr>
          <w:rFonts w:ascii="Arial" w:cs="Arial" w:eastAsia="Arial" w:hAnsi="Arial"/>
        </w:rPr>
        <w:t xml:space="preserve">Timing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560"/>
        <w:gridCol w:w="1500"/>
        <w:gridCol w:w="240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Slide</w:t>
            </w:r>
          </w:p>
        </w:tc>
        <w:tc>
          <w:tcPr>
            <w:tcW w:type="dxa" w:w="45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Segment</w:t>
            </w:r>
          </w:p>
        </w:tc>
        <w:tc>
          <w:tcPr>
            <w:tcW w:type="dxa" w:w="15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Target</w:t>
            </w:r>
          </w:p>
        </w:tc>
        <w:tc>
          <w:tcPr>
            <w:tcW w:type="dxa" w:w="24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Running total</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Title &amp; introduction</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0:22</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0:22</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2</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The assignment</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0:38</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3</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The application &amp; core flow</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1:35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4</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Approach &amp; tech stack</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0:38</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2:13</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5</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Framework architecture</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2:48</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6</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BDD in action</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0:38</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3:26</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7</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Page Object Model</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0:38</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4:04</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8</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Test coverage</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0:32</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4:36</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9</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Deep testing - boundary</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0:40</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5:16</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10</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Deep testing - security</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6:01</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11</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Deep testing - access &amp; performance</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0:42</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6:43</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12</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Live demo</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2:30</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9:13</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13</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Results</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0:32</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9:45</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14</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Reporting &amp; evidence</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0:35</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10:20</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15</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Security finding</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0:42</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11:02</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16</w:t>
            </w:r>
          </w:p>
        </w:tc>
        <w:tc>
          <w:tcPr>
            <w:tcW w:type="dxa" w:w="4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Deliverables</w:t>
            </w:r>
          </w:p>
        </w:tc>
        <w:tc>
          <w:tcPr>
            <w:tcW w:type="dxa" w:w="1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0:32</w:t>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11:34</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17</w:t>
            </w:r>
          </w:p>
        </w:tc>
        <w:tc>
          <w:tcPr>
            <w:tcW w:type="dxa" w:w="4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Closing</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0:22</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11:56</w:t>
            </w:r>
          </w:p>
        </w:tc>
      </w:tr>
    </w:tbl>
    <w:p>
      <w:pPr>
        <w:spacing w:after="120"/>
      </w:pPr>
      <w:r>
        <w:rPr>
          <w:rFonts w:ascii="Arial" w:cs="Arial" w:eastAsia="Arial" w:hAnsi="Arial"/>
          <w:i/>
          <w:iCs/>
          <w:color w:val="595959"/>
          <w:sz w:val="20"/>
          <w:szCs w:val="20"/>
        </w:rPr>
        <w:t xml:space="preserve">Estimated total: about 12 minutes.</w:t>
      </w:r>
    </w:p>
    <w:p>
      <w:r>
        <w:br w:type="page"/>
      </w:r>
    </w:p>
    <w:p>
      <w:pPr>
        <w:pStyle w:val="Heading1"/>
      </w:pPr>
      <w:r>
        <w:rPr>
          <w:rFonts w:ascii="Arial" w:cs="Arial" w:eastAsia="Arial" w:hAnsi="Arial"/>
        </w:rPr>
        <w:t xml:space="preserve">The script</w:t>
      </w:r>
    </w:p>
    <w:p>
      <w:pPr>
        <w:pStyle w:val="Heading2"/>
        <w:spacing w:after="90" w:before="240"/>
      </w:pPr>
      <w:r>
        <w:rPr>
          <w:rFonts w:ascii="Arial" w:cs="Arial" w:eastAsia="Arial" w:hAnsi="Arial"/>
        </w:rPr>
        <w:t xml:space="preserve">Slide 1  ·  Title &amp; Introduction</w:t>
      </w:r>
      <w:r>
        <w:rPr>
          <w:rFonts w:ascii="Arial" w:cs="Arial" w:eastAsia="Arial" w:hAnsi="Arial"/>
          <w:b/>
          <w:bCs/>
          <w:color w:val="147E72"/>
          <w:sz w:val="20"/>
          <w:szCs w:val="20"/>
        </w:rPr>
        <w:t xml:space="preserve">          target  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Hi, I’m Ashik. This is my submission for the Incubyte Software Craftsperson assessment - an automated test suite for the ParaBank sign-up and login flow, built with Playwright, TypeScript, BDD and the Page Object Model. It grew into 33 deep-testing scenarios that all pass. Let me walk you through it.</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2  ·  The Assignment</w:t>
      </w:r>
      <w:r>
        <w:rPr>
          <w:rFonts w:ascii="Arial" w:cs="Arial" w:eastAsia="Arial" w:hAnsi="Arial"/>
          <w:b/>
          <w:bCs/>
          <w:color w:val="147E72"/>
          <w:sz w:val="20"/>
          <w:szCs w:val="20"/>
        </w:rPr>
        <w:t xml:space="preserve">          target  0:38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The core task was to automate signing up for a ParaBank account, signing in with it, and logging the balance shown after login. The deliverables: test cases in Excel, automation code on GitHub using BDD and the Page Object Model, multiple commits, and proof of execution. I treated it as a craftsmanship exercise and expanded the scope into deep testing across five test types.</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3  ·  The Application &amp; Core Flow</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A quick word on the application. ParaBank is Parasoft’s public online-banking demo - a real registration form, a login, and account pages on a Java backend. The core flow is three steps: register a new account, sign in with it, and read the balance shown afterwards. That flow is the backbone of the suite.</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4  ·  Approach &amp; Tech Stack</w:t>
      </w:r>
      <w:r>
        <w:rPr>
          <w:rFonts w:ascii="Arial" w:cs="Arial" w:eastAsia="Arial" w:hAnsi="Arial"/>
          <w:b/>
          <w:bCs/>
          <w:color w:val="147E72"/>
          <w:sz w:val="20"/>
          <w:szCs w:val="20"/>
        </w:rPr>
        <w:t xml:space="preserve">          target  0:38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The suite stands on three pillars. Playwright with TypeScript for fast, reliable, fully typed automation. BDD - every scenario is plain Gherkin, readable by anyone. And the Page Object Model, which keeps selectors inside page classes so the steps stay clean. The glue is playwright-bdd, which runs the Gherkin files on Playwright, plus fixtures that hand page objects to each step.</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5  ·  Framework Architecture</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The framework is cleanly layered. Feature files describe the scenarios. Step definitions turn each Gherkin line into actions. Page objects hold the locators. At the end is the live application. This separation makes the suite readable, maintainable - a UI change is a one-place fix - repeatable, and reusable across all six feature files.</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6  ·  BDD in Action</w:t>
      </w:r>
      <w:r>
        <w:rPr>
          <w:rFonts w:ascii="Arial" w:cs="Arial" w:eastAsia="Arial" w:hAnsi="Arial"/>
          <w:b/>
          <w:bCs/>
          <w:color w:val="147E72"/>
          <w:sz w:val="20"/>
          <w:szCs w:val="20"/>
        </w:rPr>
        <w:t xml:space="preserve">          target  0:38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Here is what BDD looks like in the suite. This is a real feature file - the scenario is plain Gherkin: Given, When, Then. It reads like a specification anyone can understand, yet Playwright executes these exact lines as an automated test. That readability is the whole point of BDD.</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7  ·  Page Object Model</w:t>
      </w:r>
      <w:r>
        <w:rPr>
          <w:rFonts w:ascii="Arial" w:cs="Arial" w:eastAsia="Arial" w:hAnsi="Arial"/>
          <w:b/>
          <w:bCs/>
          <w:color w:val="147E72"/>
          <w:sz w:val="20"/>
          <w:szCs w:val="20"/>
        </w:rPr>
        <w:t xml:space="preserve">          target  0:38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And here is the Page Object Model. Each ParaBank page is a class that holds its locators and actions - here, the HomePage with a login method. Step definitions call these methods, never raw selectors. So if the UI changes, the fix is one line, in one place. There are five page objects, all extending a shared BasePage.</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8  ·  Test Coverage</w:t>
      </w:r>
      <w:r>
        <w:rPr>
          <w:rFonts w:ascii="Arial" w:cs="Arial" w:eastAsia="Arial" w:hAnsi="Arial"/>
          <w:b/>
          <w:bCs/>
          <w:color w:val="147E72"/>
          <w:sz w:val="20"/>
          <w:szCs w:val="20"/>
        </w:rPr>
        <w:t xml:space="preserve">          target  0:32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Coverage. The suite has 33 automated test cases across six feature files. Six are core functional tests. Then the deep testing: eight boundary tests, nine security tests, five access-control tests, and five performance tests. Every single case is automated.</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9  ·  Deep Testing - Boundary &amp; Validation</w:t>
      </w:r>
      <w:r>
        <w:rPr>
          <w:rFonts w:ascii="Arial" w:cs="Arial" w:eastAsia="Arial" w:hAnsi="Arial"/>
          <w:b/>
          <w:bCs/>
          <w:color w:val="147E72"/>
          <w:sz w:val="20"/>
          <w:szCs w:val="20"/>
        </w:rPr>
        <w:t xml:space="preserve">          target  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Deep testing, part one - boundary and input validation. On registration: password mismatch, partial forms, minimum and maximum length values, and special characters. On login: empty username, empty password, and both empty. Boundary value analysis targets the edges of valid input - where defects most often hide.</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10  ·  Deep Testing - Security</w:t>
      </w:r>
      <w:r>
        <w:rPr>
          <w:rFonts w:ascii="Arial" w:cs="Arial" w:eastAsia="Arial" w:hAnsi="Arial"/>
          <w:b/>
          <w:bCs/>
          <w:color w:val="147E72"/>
          <w:sz w:val="20"/>
          <w:szCs w:val="20"/>
        </w:rPr>
        <w:t xml:space="preserve">          target  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Part two - security, the largest group at nine tests. Input masking on every password field. Injection defence - SQL injection in the login form and HTML injection on sign-up; the attack must not succeed. Transport and session - HTTPS, and a session cookie flagged HttpOnly. And auth hardening - login errors do not reveal whether a username exists, and repeated failed logins are consistently rejected.</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11  ·  Deep Testing - Access Control &amp; Performance</w:t>
      </w:r>
      <w:r>
        <w:rPr>
          <w:rFonts w:ascii="Arial" w:cs="Arial" w:eastAsia="Arial" w:hAnsi="Arial"/>
          <w:b/>
          <w:bCs/>
          <w:color w:val="147E72"/>
          <w:sz w:val="20"/>
          <w:szCs w:val="20"/>
        </w:rPr>
        <w:t xml:space="preserve">          target  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Part three - access control and performance. Access control proves protected pages cannot be reached without signing in, or after logging out, and that a valid session persists across navigation. Performance measures five page-load and action timings, logged against generous soft budgets suited to the slow JPA backend.</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12  ·  Live Demo</w:t>
      </w:r>
      <w:r>
        <w:rPr>
          <w:rFonts w:ascii="Arial" w:cs="Arial" w:eastAsia="Arial" w:hAnsi="Arial"/>
          <w:b/>
          <w:bCs/>
          <w:color w:val="147E72"/>
          <w:sz w:val="20"/>
          <w:szCs w:val="20"/>
        </w:rPr>
        <w:t xml:space="preserve">          target  2:30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Now let me show the suite actually running.   [Switch to the screen recording and narrate lightly as you go - keep this segment around two and a half minutes.]</w:t>
            </w:r>
          </w:p>
        </w:tc>
      </w:tr>
    </w:tbl>
    <w:p>
      <w:pPr>
        <w:spacing w:after="20" w:before="120"/>
      </w:pPr>
      <w:r>
        <w:rPr>
          <w:rFonts w:ascii="Arial" w:cs="Arial" w:eastAsia="Arial" w:hAnsi="Arial"/>
          <w:b/>
          <w:bCs/>
          <w:color w:val="2F5496"/>
          <w:sz w:val="16"/>
          <w:szCs w:val="16"/>
        </w:rPr>
        <w:t xml:space="preserve">DO  (screen actions)</w:t>
      </w:r>
    </w:p>
    <w:p>
      <w:pPr>
        <w:pStyle w:val="ListParagraph"/>
        <w:numPr>
          <w:ilvl w:val="0"/>
          <w:numId w:val="3"/>
        </w:numPr>
        <w:spacing w:after="60" w:before="80"/>
      </w:pPr>
      <w:r>
        <w:rPr>
          <w:rFonts w:ascii="Arial" w:cs="Arial" w:eastAsia="Arial" w:hAnsi="Arial"/>
          <w:sz w:val="21"/>
          <w:szCs w:val="21"/>
        </w:rPr>
        <w:t xml:space="preserve">Run "npm test" - show bddgen compiling the features, then scenarios passing in the terminal.</w:t>
      </w:r>
    </w:p>
    <w:p>
      <w:pPr>
        <w:pStyle w:val="ListParagraph"/>
        <w:numPr>
          <w:ilvl w:val="0"/>
          <w:numId w:val="3"/>
        </w:numPr>
        <w:spacing w:after="60" w:before="0"/>
      </w:pPr>
      <w:r>
        <w:rPr>
          <w:rFonts w:ascii="Arial" w:cs="Arial" w:eastAsia="Arial" w:hAnsi="Arial"/>
          <w:sz w:val="21"/>
          <w:szCs w:val="21"/>
        </w:rPr>
        <w:t xml:space="preserve">Show one registration scenario in the browser - the form being filled, submitted, and the result read.</w:t>
      </w:r>
    </w:p>
    <w:p>
      <w:pPr>
        <w:pStyle w:val="ListParagraph"/>
        <w:numPr>
          <w:ilvl w:val="0"/>
          <w:numId w:val="3"/>
        </w:numPr>
        <w:spacing w:after="60" w:before="0"/>
      </w:pPr>
      <w:r>
        <w:rPr>
          <w:rFonts w:ascii="Arial" w:cs="Arial" w:eastAsia="Arial" w:hAnsi="Arial"/>
          <w:sz w:val="21"/>
          <w:szCs w:val="21"/>
        </w:rPr>
        <w:t xml:space="preserve">Open the Monocart HTML report - click into one test to show its video, screenshots and trace.</w:t>
      </w:r>
    </w:p>
    <w:p>
      <w:pPr>
        <w:pStyle w:val="ListParagraph"/>
        <w:numPr>
          <w:ilvl w:val="0"/>
          <w:numId w:val="3"/>
        </w:numPr>
        <w:spacing w:after="60" w:before="0"/>
      </w:pPr>
      <w:r>
        <w:rPr>
          <w:rFonts w:ascii="Arial" w:cs="Arial" w:eastAsia="Arial" w:hAnsi="Arial"/>
          <w:sz w:val="21"/>
          <w:szCs w:val="21"/>
        </w:rPr>
        <w:t xml:space="preserve">Briefly open ParaBank_Test_Cases.xlsx so the viewer sees the documented test cases.</w:t>
      </w:r>
    </w:p>
    <w:p>
      <w:pPr>
        <w:pStyle w:val="ListParagraph"/>
        <w:numPr>
          <w:ilvl w:val="0"/>
          <w:numId w:val="3"/>
        </w:numPr>
        <w:spacing w:after="60" w:before="0"/>
      </w:pPr>
      <w:r>
        <w:rPr>
          <w:rFonts w:ascii="Arial" w:cs="Arial" w:eastAsia="Arial" w:hAnsi="Arial"/>
          <w:sz w:val="21"/>
          <w:szCs w:val="21"/>
        </w:rPr>
        <w:t xml:space="preserve">Then return to the slides for the wrap-up.</w:t>
      </w:r>
    </w:p>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13  ·  Results</w:t>
      </w:r>
      <w:r>
        <w:rPr>
          <w:rFonts w:ascii="Arial" w:cs="Arial" w:eastAsia="Arial" w:hAnsi="Arial"/>
          <w:b/>
          <w:bCs/>
          <w:color w:val="147E72"/>
          <w:sz w:val="20"/>
          <w:szCs w:val="20"/>
        </w:rPr>
        <w:t xml:space="preserve">          target  0:32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The results. The full suite ran on the 24th of May - 33 of 33 scenarios passed, zero failures, in about 141 seconds, and it is fully automated. It runs serially by default, because the shared ParaBank demo rejects concurrent load - but a single WORKERS flag switches it to parallel execution on a dedicated host, which cuts the run time substantially.</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14  ·  Reporting &amp; Evidence</w:t>
      </w:r>
      <w:r>
        <w:rPr>
          <w:rFonts w:ascii="Arial" w:cs="Arial" w:eastAsia="Arial" w:hAnsi="Arial"/>
          <w:b/>
          <w:bCs/>
          <w:color w:val="147E72"/>
          <w:sz w:val="20"/>
          <w:szCs w:val="20"/>
        </w:rPr>
        <w:t xml:space="preserve">          target  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Reporting. Every run documents itself. The Monocart HTML report is interactive - browse every scenario. There is a video for every test, step screenshots and a full trace, a KPI dashboard, a plain-English summary, and logs for the balance, performance and security checks. Open the report and you see exactly what happened - that is the proof of execution.</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15  ·  Security Finding</w:t>
      </w:r>
      <w:r>
        <w:rPr>
          <w:rFonts w:ascii="Arial" w:cs="Arial" w:eastAsia="Arial" w:hAnsi="Arial"/>
          <w:b/>
          <w:bCs/>
          <w:color w:val="147E72"/>
          <w:sz w:val="20"/>
          <w:szCs w:val="20"/>
        </w:rPr>
        <w:t xml:space="preserve">          target  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One finding I want to call out. The security suite caught a real defect - a stored cross-site-scripting vulnerability in the registration first-name field; ParaBank renders that field without escaping it. My test asserts the secure expectation, so against the vulnerable site it fails - and I tagged it as an expected failure, so the defect is tracked while the suite stays green. A security test that catches a genuine vulnerability is doing exactly its job.</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16  ·  Deliverables</w:t>
      </w:r>
      <w:r>
        <w:rPr>
          <w:rFonts w:ascii="Arial" w:cs="Arial" w:eastAsia="Arial" w:hAnsi="Arial"/>
          <w:b/>
          <w:bCs/>
          <w:color w:val="147E72"/>
          <w:sz w:val="20"/>
          <w:szCs w:val="20"/>
        </w:rPr>
        <w:t xml:space="preserve">          target  0:32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So, everything that ships: the automation suite, the Excel test-case workbook, a Word test plan, the GitHub repository with an incremental commit history, a CI pipeline that runs the suite on every push, and rich reporting. Throughout, I focused on craftsmanship - typed code, small reviewable commits, reusable steps, repeatable data, and clear documentation.</w:t>
            </w:r>
          </w:p>
        </w:tc>
      </w:tr>
    </w:tbl>
    <w:p>
      <w:pPr>
        <w:spacing w:after="140"/>
      </w:pPr>
      <w:r>
        <w:rPr>
          <w:rFonts w:ascii="Arial" w:cs="Arial" w:eastAsia="Arial" w:hAnsi="Arial"/>
        </w:rPr>
        <w:t xml:space="preserve"/>
      </w:r>
    </w:p>
    <w:p>
      <w:pPr>
        <w:pStyle w:val="Heading2"/>
        <w:spacing w:after="90" w:before="240"/>
      </w:pPr>
      <w:r>
        <w:rPr>
          <w:rFonts w:ascii="Arial" w:cs="Arial" w:eastAsia="Arial" w:hAnsi="Arial"/>
        </w:rPr>
        <w:t xml:space="preserve">Slide 17  ·  Closing</w:t>
      </w:r>
      <w:r>
        <w:rPr>
          <w:rFonts w:ascii="Arial" w:cs="Arial" w:eastAsia="Arial" w:hAnsi="Arial"/>
          <w:b/>
          <w:bCs/>
          <w:color w:val="147E72"/>
          <w:sz w:val="20"/>
          <w:szCs w:val="20"/>
        </w:rPr>
        <w:t xml:space="preserve">          target  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30"/>
              <w:left w:type="dxa" w:w="180"/>
              <w:bottom w:type="dxa" w:w="130"/>
              <w:right w:type="dxa" w:w="160"/>
            </w:tcMar>
          </w:tcPr>
          <w:p>
            <w:pPr>
              <w:spacing w:after="70"/>
            </w:pPr>
            <w:r>
              <w:rPr>
                <w:rFonts w:ascii="Arial" w:cs="Arial" w:eastAsia="Arial" w:hAnsi="Arial"/>
                <w:b/>
                <w:bCs/>
                <w:color w:val="147E72"/>
                <w:sz w:val="16"/>
                <w:szCs w:val="16"/>
              </w:rPr>
              <w:t xml:space="preserve">SAY</w:t>
            </w:r>
          </w:p>
          <w:p>
            <w:pPr>
              <w:spacing w:after="0"/>
            </w:pPr>
            <w:r>
              <w:rPr>
                <w:rFonts w:ascii="Arial" w:cs="Arial" w:eastAsia="Arial" w:hAnsi="Arial"/>
                <w:color w:val="1A1A1A"/>
                <w:sz w:val="23"/>
                <w:szCs w:val="23"/>
              </w:rPr>
              <w:t xml:space="preserve">To recap: 33 deep-testing scenarios spanning functional, boundary, security, access-control and performance; built with BDD and the Page Object Model; a fully green run with proof of execution; and a real security finding the suite caught and tracked. Thank you for watching - I’m happy to walk through any part of the code or the report.</w:t>
            </w:r>
          </w:p>
        </w:tc>
      </w:tr>
    </w:tbl>
    <w:p>
      <w:pPr>
        <w:spacing w:after="140"/>
      </w:pPr>
      <w:r>
        <w:rPr>
          <w:rFonts w:ascii="Arial" w:cs="Arial" w:eastAsia="Arial" w:hAnsi="Arial"/>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Demo Script  |  ParaBank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0" w:hanging="320"/>
      </w:pPr>
    </w:lvl>
  </w:abstractNum>
  <w:abstractNum w:abstractNumId="3"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Script - ParaBank Automation Demo</dc:title>
  <dc:creator>Ashik Mohamed</dc:creator>
  <cp:lastModifiedBy>Un-named</cp:lastModifiedBy>
  <cp:revision>1</cp:revision>
  <dcterms:created xsi:type="dcterms:W3CDTF">2026-05-24T21:56:32.182Z</dcterms:created>
  <dcterms:modified xsi:type="dcterms:W3CDTF">2026-05-24T21:56:32.183Z</dcterms:modified>
</cp:coreProperties>
</file>

<file path=docProps/custom.xml><?xml version="1.0" encoding="utf-8"?>
<Properties xmlns="http://schemas.openxmlformats.org/officeDocument/2006/custom-properties" xmlns:vt="http://schemas.openxmlformats.org/officeDocument/2006/docPropsVTypes"/>
</file>