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eastAsia="Calibri"/>
          <w:b/>
          <w:color w:val="00274C"/>
          <w:sz w:val="36"/>
        </w:rPr>
        <w:t>MD ASHIKUR RAHMAN</w:t>
      </w:r>
    </w:p>
    <w:p>
      <w:pPr>
        <w:spacing w:before="0" w:after="40" w:line="264" w:lineRule="auto"/>
        <w:jc w:val="center"/>
      </w:pPr>
      <w:r>
        <w:rPr>
          <w:rFonts w:ascii="Calibri" w:hAnsi="Calibri" w:eastAsia="Calibri"/>
          <w:b/>
          <w:color w:val="00274C"/>
          <w:sz w:val="20"/>
        </w:rPr>
        <w:t>Lead AI Engineer | Multimodal AI, Generative AI &amp; Applied Computer Vision</w:t>
      </w:r>
    </w:p>
    <w:p>
      <w:pPr>
        <w:spacing w:before="0" w:after="20" w:line="264" w:lineRule="auto"/>
        <w:jc w:val="center"/>
      </w:pPr>
      <w:r>
        <w:rPr>
          <w:rFonts w:ascii="Calibri" w:hAnsi="Calibri" w:eastAsia="Calibri"/>
          <w:b w:val="0"/>
          <w:color w:val="00274C"/>
          <w:sz w:val="18"/>
        </w:rPr>
        <w:t>Dhaka, Bangladesh | Open to Relocation and Remote Opportunities</w:t>
      </w:r>
    </w:p>
    <w:p>
      <w:pPr>
        <w:spacing w:before="0" w:after="120" w:line="264" w:lineRule="auto"/>
        <w:jc w:val="center"/>
      </w:pPr>
      <w:hyperlink r:id="rId9">
        <w:r>
          <w:rPr>
            <w:color w:val="9B1B30"/>
            <w:u w:val="single"/>
            <w:sz w:val="18"/>
            <w:rFonts w:ascii="Calibri" w:hAnsi="Calibri"/>
          </w:rPr>
          <w:t>mdashikur.rafi@gmail.com</w:t>
        </w:r>
      </w:hyperlink>
      <w:r>
        <w:rPr>
          <w:rFonts w:ascii="Calibri" w:hAnsi="Calibri" w:eastAsia="Calibri"/>
          <w:b w:val="0"/>
          <w:color w:val="00274C"/>
          <w:sz w:val="18"/>
        </w:rPr>
        <w:t xml:space="preserve"> | +880 1675 964 080 | </w:t>
      </w:r>
      <w:hyperlink r:id="rId10">
        <w:r>
          <w:rPr>
            <w:color w:val="9B1B30"/>
            <w:u w:val="single"/>
            <w:sz w:val="18"/>
            <w:rFonts w:ascii="Calibri" w:hAnsi="Calibri"/>
          </w:rPr>
          <w:t>Portfolio</w:t>
        </w:r>
      </w:hyperlink>
      <w:r>
        <w:rPr>
          <w:rFonts w:ascii="Calibri" w:hAnsi="Calibri" w:eastAsia="Calibri"/>
          <w:b w:val="0"/>
          <w:color w:val="00274C"/>
          <w:sz w:val="18"/>
        </w:rPr>
        <w:t xml:space="preserve"> | </w:t>
      </w:r>
      <w:hyperlink r:id="rId11">
        <w:r>
          <w:rPr>
            <w:color w:val="9B1B30"/>
            <w:u w:val="single"/>
            <w:sz w:val="18"/>
            <w:rFonts w:ascii="Calibri" w:hAnsi="Calibri"/>
          </w:rPr>
          <w:t>GitHub</w:t>
        </w:r>
      </w:hyperlink>
      <w:r>
        <w:rPr>
          <w:rFonts w:ascii="Calibri" w:hAnsi="Calibri" w:eastAsia="Calibri"/>
          <w:b w:val="0"/>
          <w:color w:val="00274C"/>
          <w:sz w:val="18"/>
        </w:rPr>
        <w:t xml:space="preserve"> | </w:t>
      </w:r>
      <w:hyperlink r:id="rId12">
        <w:r>
          <w:rPr>
            <w:color w:val="9B1B30"/>
            <w:u w:val="single"/>
            <w:sz w:val="18"/>
            <w:rFonts w:ascii="Calibri" w:hAnsi="Calibri"/>
          </w:rPr>
          <w:t>LinkedIn</w:t>
        </w:r>
      </w:hyperlink>
      <w:r>
        <w:rPr>
          <w:rFonts w:ascii="Calibri" w:hAnsi="Calibri" w:eastAsia="Calibri"/>
          <w:b w:val="0"/>
          <w:color w:val="00274C"/>
          <w:sz w:val="18"/>
        </w:rPr>
        <w:t xml:space="preserve"> | </w:t>
      </w:r>
      <w:hyperlink r:id="rId13">
        <w:r>
          <w:rPr>
            <w:color w:val="9B1B30"/>
            <w:u w:val="single"/>
            <w:sz w:val="18"/>
            <w:rFonts w:ascii="Calibri" w:hAnsi="Calibri"/>
          </w:rPr>
          <w:t>Google Scholar</w:t>
        </w:r>
      </w:hyperlink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Summary</w:t>
      </w:r>
    </w:p>
    <w:p>
      <w:pPr>
        <w:spacing w:before="40" w:after="80" w:line="276" w:lineRule="auto"/>
        <w:ind w:left="0" w:firstLine="0"/>
        <w:jc w:val="left"/>
      </w:pPr>
      <w:r>
        <w:rPr>
          <w:rFonts w:ascii="Calibri" w:hAnsi="Calibri" w:eastAsia="Calibri"/>
          <w:b w:val="0"/>
          <w:color w:val="222222"/>
          <w:sz w:val="19"/>
        </w:rPr>
        <w:t>Lead AI Engineer specializing in multimodal AI, vision-language systems, generative AI, and applied computer vision. Currently lead a multidisciplinary team of 15+ engineers and researchers and deliver enterprise AI products used by 200+ brands. Architected computer-vision systems that have processed more than 4.5 million images globally.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Experience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Lead AI Engineer, The KOW Company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Jan 2023-Present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Lead a multidisciplinary team of 15+ ML engineers, software engineers, and junior researchers, driving technical strategy, system architecture, engineering execution, quality standards, and cross-functional delivery.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Lead the design, development, and deployment of scalable AI systems, translating product requirements into robust machine learning solutions.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Direct applied research on AI hallucination, prompt safety, visual grounding, and video understanding, operationalizing research into production-ready models and evaluation frameworks.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Develop and deploy deep learning–based computer vision and image-processing systems; publish reproducible code, datasets, and model checkpoints on GitHub and Hugging Face.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Senior Machine Learning Engineer, The KOW Company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Jul 2021-Dec 2022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Improved object detection and segmentation performance by 20-35% across internal evaluation benchmarks; the resulting models were later deployed in Retouched.ai.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Led 6+ client ML engagements from requirements gathering through production delivery; built offline evaluation pipelines and A/B testing workflows to validate model quality, inference performance, and business and operational outcomes.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Machine Learning Engineer, The KOW Company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Jul 2020-Jun 2021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Built deep learning models for object recognition, image segmentation, and background-removal workflows; developed scalable preprocessing, training, and A/B testing pipelines.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Senior Software Engineer, Smart Technologies (BD) Ltd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Sep 2016-Dec 2019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Led .NET and SQL Server supply-chain systems on a 4 TB database, reducing report generation from 20 minutes to 40-54 seconds.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Achieved 70-75% process automation and 99.9% synchronization success for offline-capable enterprise workflows.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Software Engineer, Proggasoft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Mar 2015-Aug 2016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Developed ASP.NET MVC features, backend services, and database integrations for DevSkill.com.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Key Projects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Retouched.ai - Object Detection and Segmentation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Production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Developed salient-object segmentation for background removal; improved segmentation quality by 17% on internal benchmarks, reduced processing time by 30%, enabled uploads of up to 257 MB, and achieved a 2.27-second average processing time across standard workloads.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Scaled Retouched.ai to process 4.5M+ images globally for hundreds of customers using PyTorch, U²-Net-inspired salient-object segmentation, FastAPI, and Google Cloud Platform.</w:t>
      </w:r>
    </w:p>
    <w:p>
      <w:pPr>
        <w:tabs>
          <w:tab w:pos="10080" w:val="right"/>
        </w:tabs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Omnimage.ai - AI Image and Video Generation</w:t>
      </w:r>
      <w:r>
        <w:tab/>
      </w:r>
      <w:r>
        <w:rPr>
          <w:rFonts w:ascii="Calibri" w:hAnsi="Calibri" w:eastAsia="Calibri"/>
          <w:b w:val="0"/>
          <w:color w:val="5F6B75"/>
          <w:sz w:val="18"/>
        </w:rPr>
        <w:t>Production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Co-designed and launched image- and video-generation APIs used by 200+ brands for creative and product-image workflows.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Engineered workflows for reference-image conditioning, asynchronous processing, prompt classification, intent routing, and automated model selection.</w:t>
      </w:r>
    </w:p>
    <w:p>
      <w:pPr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The Fitting Room - Cross-Brand Virtual Try-On Platform (In development)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Conceived and co-led a unified cross-brand virtual try-on platform supporting products from 170+ brands.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Architected a Dockerized FastAPI/Nginx backend using SQL Server, Google Cloud Storage, Redis, recommendation services, and 2D virtual try-on pipelines.</w:t>
      </w:r>
    </w:p>
    <w:p>
      <w:pPr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Enterprise AI Catalog Audit and Image Quality Assurance Platform (In development)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Leading the development of an AI catalog-audit and image quality assurance platform for a major US retail client.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Automating image QA, catalog validation, metadata checks, and content-health monitoring across DAM and CMS workflows using NLP, PyTorch, and FastAPI.</w:t>
      </w:r>
    </w:p>
    <w:p>
      <w:pPr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CogniX - Proprietary Multimodal Content Creation Platform (Active R&amp;D)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Leading early-stage R&amp;D for multimodal product-visualization and editing workflows.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Researching and prototyping multi-reference fusion and editing workflows for garment replacement, scene composition, product visualization, and style transfer using PyTorch, Diffusers, ComfyUI, and parameter-efficient fine-tuning (LoRA, QLoRA).</w:t>
      </w:r>
    </w:p>
    <w:p>
      <w:r>
        <w:br w:type="page"/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Peer-Reviewed Publications</w:t>
      </w:r>
    </w:p>
    <w:p>
      <w:pPr>
        <w:spacing w:before="0" w:after="40" w:line="276" w:lineRule="auto"/>
        <w:ind w:left="0" w:firstLine="0"/>
      </w:pPr>
      <w:r>
        <w:rPr>
          <w:rFonts w:ascii="Calibri" w:hAnsi="Calibri" w:eastAsia="Calibri"/>
          <w:b w:val="0"/>
          <w:color w:val="222222"/>
          <w:sz w:val="19"/>
        </w:rPr>
        <w:t>[P1] Abdullah Ibne Hanif Arean, Niamul Hassan Samin, Md Arifur Rahman, Renu Akter Sweety, Juena Ahmed Noshin, Md Ashikur Rahman*. "Stroke-Level Connectivity Verification: Grounding Vision-Language Models Against Topology Hallucination in Diagram Understanding." International Conference on Document Analysis and Recognition (ICDAR), 2026. Accepted for oral presentation. *Corresponding author. [Code]</w:t>
      </w:r>
    </w:p>
    <w:p>
      <w:pPr>
        <w:spacing w:before="0" w:after="40" w:line="276" w:lineRule="auto"/>
        <w:ind w:left="0" w:firstLine="0"/>
      </w:pPr>
      <w:r>
        <w:rPr>
          <w:rFonts w:ascii="Calibri" w:hAnsi="Calibri" w:eastAsia="Calibri"/>
          <w:b w:val="0"/>
          <w:color w:val="222222"/>
          <w:sz w:val="19"/>
        </w:rPr>
        <w:t>[P2] Juena Noshin, Kawser Irom Rushee, Mohammad Rabiul Islam, Sifat Rahman Ahona, Md Ashikur Rahman. "UCAR: Uncertainty-Calibrated Adaptive Retrieval for Hallucination Reduction in Medical Vision-Language Models." International Conference on Computing Advancements (ICCA), 2026.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Preprints and Manuscripts Under Review</w:t>
      </w:r>
    </w:p>
    <w:p>
      <w:pPr>
        <w:spacing w:before="0" w:after="40" w:line="276" w:lineRule="auto"/>
        <w:ind w:left="0" w:firstLine="0"/>
      </w:pPr>
      <w:r>
        <w:rPr>
          <w:rFonts w:ascii="Calibri" w:hAnsi="Calibri" w:eastAsia="Calibri"/>
          <w:b w:val="0"/>
          <w:color w:val="222222"/>
          <w:sz w:val="19"/>
        </w:rPr>
        <w:t>[M1] Md Ashikur Rahman, Md Arifur Rahman, Niamul Hassan Samin, Khandaker Rifah Tasnia, Sifat Rahman Ahona, Juena Ahmed Noshin. "Beyond Aggregate Risk: Role-Stratified Conformal Risk Control for LLM Tool Calls." Manuscript under review, 2026.</w:t>
      </w:r>
    </w:p>
    <w:p>
      <w:pPr>
        <w:spacing w:before="0" w:after="40" w:line="276" w:lineRule="auto"/>
        <w:ind w:left="0" w:firstLine="0"/>
      </w:pPr>
      <w:r>
        <w:rPr>
          <w:rFonts w:ascii="Calibri" w:hAnsi="Calibri" w:eastAsia="Calibri"/>
          <w:b w:val="0"/>
          <w:color w:val="222222"/>
          <w:sz w:val="19"/>
        </w:rPr>
        <w:t>[M2] Md Ashikur Rahman, Juena Ahmed Noshin, Niamul Hassan Samin, Abdullah Ibne Hanif Arean, Md Hasibul Amin, Md Arifur Rahman. "When Detector-Based Grounding Metrics Measure Vocabulary: A Cautionary Audit of Entity Claims in Video-QA Reasoning Traces." Manuscript under review, 2026.</w:t>
      </w:r>
    </w:p>
    <w:p>
      <w:pPr>
        <w:spacing w:before="0" w:after="40" w:line="276" w:lineRule="auto"/>
        <w:ind w:left="0" w:firstLine="0"/>
      </w:pPr>
      <w:r>
        <w:rPr>
          <w:rFonts w:ascii="Calibri" w:hAnsi="Calibri" w:eastAsia="Calibri"/>
          <w:b w:val="0"/>
          <w:color w:val="222222"/>
          <w:sz w:val="19"/>
        </w:rPr>
        <w:t>[M3] Md Ashikur Rahman, Md Arifur Rahman, Nusrat Jahan Trisna, Juena Ahmed Noshin. "Decoding Harm: Do Reasoning Models Resist Math-Encoded Jailbreaks?" Manuscript under review, 2026.</w:t>
      </w:r>
    </w:p>
    <w:p>
      <w:pPr>
        <w:spacing w:before="0" w:after="40" w:line="276" w:lineRule="auto"/>
        <w:ind w:left="0" w:firstLine="0"/>
      </w:pPr>
      <w:r>
        <w:rPr>
          <w:rFonts w:ascii="Calibri" w:hAnsi="Calibri" w:eastAsia="Calibri"/>
          <w:b w:val="0"/>
          <w:color w:val="222222"/>
          <w:sz w:val="19"/>
        </w:rPr>
        <w:t>[M4] Niamul Hassan Samin, Abdullah Ibne Hanif Arean, Md Arifur Rahman, Md Hasibul Amin, Renu Akter Suity, Juena Ahmed Noshin, Md Ashikur Rahman. "Residual Stream Rebalancing: Training-Free Hallucination Mitigation in Vision-Language Models." Manuscript under review, 2026.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Additional Publication</w:t>
      </w:r>
    </w:p>
    <w:p>
      <w:pPr>
        <w:spacing w:before="0" w:after="40" w:line="276" w:lineRule="auto"/>
        <w:ind w:left="0" w:firstLine="0"/>
      </w:pPr>
      <w:r>
        <w:rPr>
          <w:rFonts w:ascii="Calibri" w:hAnsi="Calibri" w:eastAsia="Calibri"/>
          <w:b w:val="0"/>
          <w:color w:val="222222"/>
          <w:sz w:val="19"/>
        </w:rPr>
        <w:t>[A1] &lt;b&gt;Md Ashikur Rahman&lt;/b&gt;, Md Arifur Rahman, Juena Ahmed Noshin. "Automated Detection of Diabetic Retinopathy Using Deep Residual Learning." International Journal of Computer Applications, 2020.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Education</w:t>
      </w:r>
    </w:p>
    <w:p>
      <w:pPr>
        <w:spacing w:before="40" w:after="20" w:line="264" w:lineRule="auto"/>
      </w:pPr>
      <w:r>
        <w:rPr>
          <w:rFonts w:ascii="Calibri" w:hAnsi="Calibri" w:eastAsia="Calibri"/>
          <w:b/>
          <w:color w:val="00274C"/>
          <w:sz w:val="20"/>
        </w:rPr>
        <w:t>B.Sc. in Computer Science and Engineering</w:t>
      </w:r>
    </w:p>
    <w:p>
      <w:pPr>
        <w:spacing w:before="80" w:after="20" w:line="264" w:lineRule="auto"/>
        <w:ind w:left="0" w:firstLine="0"/>
      </w:pPr>
      <w:r>
        <w:rPr>
          <w:rFonts w:ascii="Calibri" w:hAnsi="Calibri" w:eastAsia="Calibri"/>
          <w:b/>
          <w:color w:val="222222"/>
          <w:sz w:val="20"/>
        </w:rPr>
        <w:t>American International University-Bangladesh | 2011-2015</w:t>
      </w:r>
    </w:p>
    <w:p>
      <w:pPr>
        <w:spacing w:before="0" w:after="20" w:line="276" w:lineRule="auto"/>
      </w:pPr>
      <w:r>
        <w:rPr>
          <w:rFonts w:ascii="Calibri" w:hAnsi="Calibri" w:eastAsia="Calibri"/>
          <w:b w:val="0"/>
          <w:color w:val="222222"/>
          <w:sz w:val="19"/>
        </w:rPr>
        <w:t>CGPA: 3.87/4.00; WES equivalent: 3.94/4.00</w:t>
      </w:r>
    </w:p>
    <w:p>
      <w:pPr>
        <w:spacing w:before="0" w:after="20" w:line="276" w:lineRule="auto"/>
      </w:pPr>
      <w:r>
        <w:rPr>
          <w:rFonts w:ascii="Calibri" w:hAnsi="Calibri" w:eastAsia="Calibri"/>
          <w:b w:val="0"/>
          <w:color w:val="222222"/>
          <w:sz w:val="19"/>
        </w:rPr>
        <w:t>Magna Cum Laude; Top 3%; Merit Scholarship and Tuition Fee Waiver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Awards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Champion, BASIS National ICT Awards 2020 (Retouched.ai); Finalist, APICTA 2021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Languages</w:t>
      </w:r>
    </w:p>
    <w:p>
      <w:pPr>
        <w:spacing w:before="0" w:after="20" w:line="276" w:lineRule="auto"/>
        <w:ind w:left="259" w:firstLine="0"/>
      </w:pPr>
      <w:r>
        <w:rPr>
          <w:rFonts w:ascii="Calibri" w:hAnsi="Calibri" w:eastAsia="Calibri"/>
          <w:b w:val="0"/>
          <w:color w:val="222222"/>
          <w:sz w:val="19"/>
        </w:rPr>
        <w:t>• Bengali (Native); English (Professional working proficiency)</w:t>
      </w:r>
    </w:p>
    <w:p>
      <w:pPr>
        <w:spacing w:before="160" w:after="40" w:line="264" w:lineRule="auto"/>
        <w:ind w:left="0" w:firstLine="0"/>
        <w:pBdr>
          <w:bottom w:val="single" w:sz="6" w:space="1" w:color="E4EAEE"/>
        </w:pBdr>
      </w:pPr>
      <w:r>
        <w:rPr>
          <w:rFonts w:ascii="Calibri" w:hAnsi="Calibri" w:eastAsia="Calibri"/>
          <w:b/>
          <w:color w:val="00274C"/>
          <w:sz w:val="22"/>
        </w:rPr>
        <w:t>Skills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color w:val="222222"/>
          <w:sz w:val="19"/>
        </w:rPr>
        <w:t xml:space="preserve">Multimodal and Vision-Language AI: </w:t>
      </w:r>
      <w:r>
        <w:rPr>
          <w:rFonts w:ascii="Calibri" w:hAnsi="Calibri" w:eastAsia="Calibri"/>
          <w:b w:val="0"/>
          <w:color w:val="222222"/>
          <w:sz w:val="19"/>
        </w:rPr>
        <w:t>Python, PyTorch, Vision-Language Models, Visual Grounding, Hallucination Evaluation, Multimodal Learning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color w:val="222222"/>
          <w:sz w:val="19"/>
        </w:rPr>
        <w:t xml:space="preserve">Generative AI and LLMs: </w:t>
      </w:r>
      <w:r>
        <w:rPr>
          <w:rFonts w:ascii="Calibri" w:hAnsi="Calibri" w:eastAsia="Calibri"/>
          <w:b w:val="0"/>
          <w:color w:val="222222"/>
          <w:sz w:val="19"/>
        </w:rPr>
        <w:t>Diffusion Models, Large Language Models (including Llama and Qwen), Prompt Safety, Parameter-Efficient Fine-Tuning (LoRA, QLoRA)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color w:val="222222"/>
          <w:sz w:val="19"/>
        </w:rPr>
        <w:t xml:space="preserve">Computer Vision: </w:t>
      </w:r>
      <w:r>
        <w:rPr>
          <w:rFonts w:ascii="Calibri" w:hAnsi="Calibri" w:eastAsia="Calibri"/>
          <w:b w:val="0"/>
          <w:color w:val="222222"/>
          <w:sz w:val="19"/>
        </w:rPr>
        <w:t>Object Detection, Segmentation, Pose Estimation, Image Quality Assurance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color w:val="222222"/>
          <w:sz w:val="19"/>
        </w:rPr>
        <w:t xml:space="preserve">3D Vision: </w:t>
      </w:r>
      <w:r>
        <w:rPr>
          <w:rFonts w:ascii="Calibri" w:hAnsi="Calibri" w:eastAsia="Calibri"/>
          <w:b w:val="0"/>
          <w:color w:val="222222"/>
          <w:sz w:val="19"/>
        </w:rPr>
        <w:t>Structure from Motion, Multi-View Stereo, COLMAP, Open3D, Neural Radiance Fields (NeRF), 3D Gaussian Splatting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color w:val="222222"/>
          <w:sz w:val="19"/>
        </w:rPr>
        <w:t xml:space="preserve">Production ML and MLOps: </w:t>
      </w:r>
      <w:r>
        <w:rPr>
          <w:rFonts w:ascii="Calibri" w:hAnsi="Calibri" w:eastAsia="Calibri"/>
          <w:b w:val="0"/>
          <w:color w:val="222222"/>
          <w:sz w:val="19"/>
        </w:rPr>
        <w:t>Model Serving, Deployment, Offline and Online Evaluation, A/B Testing, Dataset Design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color w:val="222222"/>
          <w:sz w:val="19"/>
        </w:rPr>
        <w:t xml:space="preserve">Backend and Cloud: </w:t>
      </w:r>
      <w:r>
        <w:rPr>
          <w:rFonts w:ascii="Calibri" w:hAnsi="Calibri" w:eastAsia="Calibri"/>
          <w:b w:val="0"/>
          <w:color w:val="222222"/>
          <w:sz w:val="19"/>
        </w:rPr>
        <w:t>FastAPI, Docker, Nginx, Redis, Google Cloud Platform, Google Cloud Storage, SQL Server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dashikur.rafi@gmail.com" TargetMode="External"/><Relationship Id="rId10" Type="http://schemas.openxmlformats.org/officeDocument/2006/relationships/hyperlink" Target="https://ashikrafi.github.io/" TargetMode="External"/><Relationship Id="rId11" Type="http://schemas.openxmlformats.org/officeDocument/2006/relationships/hyperlink" Target="https://github.com/ashikrafi" TargetMode="External"/><Relationship Id="rId12" Type="http://schemas.openxmlformats.org/officeDocument/2006/relationships/hyperlink" Target="https://www.linkedin.com/in/mdashikrah/" TargetMode="External"/><Relationship Id="rId13" Type="http://schemas.openxmlformats.org/officeDocument/2006/relationships/hyperlink" Target="https://scholar.google.com/citations?user=Htgw_vE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