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eastAsia="Calibri"/>
          <w:b/>
          <w:color w:val="00274C"/>
          <w:sz w:val="36"/>
        </w:rPr>
        <w:t>MD ASHIKUR RAHMAN</w:t>
      </w:r>
    </w:p>
    <w:p>
      <w:pPr>
        <w:spacing w:before="0" w:after="40" w:line="264" w:lineRule="auto"/>
        <w:jc w:val="center"/>
      </w:pPr>
      <w:r>
        <w:rPr>
          <w:rFonts w:ascii="Calibri" w:hAnsi="Calibri" w:eastAsia="Calibri"/>
          <w:b/>
          <w:color w:val="00274C"/>
          <w:sz w:val="20"/>
        </w:rPr>
        <w:t>Lead AI Engineer | Multimodal AI, Generative AI, and Production Computer Vision</w:t>
      </w:r>
    </w:p>
    <w:p>
      <w:pPr>
        <w:spacing w:before="0" w:after="20" w:line="264" w:lineRule="auto"/>
        <w:jc w:val="center"/>
      </w:pPr>
      <w:r>
        <w:rPr>
          <w:rFonts w:ascii="Calibri" w:hAnsi="Calibri" w:eastAsia="Calibri"/>
          <w:b w:val="0"/>
          <w:color w:val="00274C"/>
          <w:sz w:val="18"/>
        </w:rPr>
        <w:t>Dhaka, Bangladesh | Open to Relocation and Remote Opportunities</w:t>
      </w:r>
    </w:p>
    <w:p>
      <w:pPr>
        <w:spacing w:before="0" w:after="120" w:line="264" w:lineRule="auto"/>
        <w:jc w:val="center"/>
      </w:pPr>
      <w:hyperlink r:id="rId9">
        <w:r>
          <w:rPr>
            <w:color w:val="9B1B30"/>
            <w:u w:val="single"/>
            <w:sz w:val="18"/>
            <w:rFonts w:ascii="Calibri" w:hAnsi="Calibri"/>
          </w:rPr>
          <w:t>mdashikur.rafi@gmail.com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+880 1675 964 080 | </w:t>
      </w:r>
      <w:hyperlink r:id="rId10">
        <w:r>
          <w:rPr>
            <w:color w:val="9B1B30"/>
            <w:u w:val="single"/>
            <w:sz w:val="18"/>
            <w:rFonts w:ascii="Calibri" w:hAnsi="Calibri"/>
          </w:rPr>
          <w:t>Portfolio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1">
        <w:r>
          <w:rPr>
            <w:color w:val="9B1B30"/>
            <w:u w:val="single"/>
            <w:sz w:val="18"/>
            <w:rFonts w:ascii="Calibri" w:hAnsi="Calibri"/>
          </w:rPr>
          <w:t>GitHub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2">
        <w:r>
          <w:rPr>
            <w:color w:val="9B1B30"/>
            <w:u w:val="single"/>
            <w:sz w:val="18"/>
            <w:rFonts w:ascii="Calibri" w:hAnsi="Calibri"/>
          </w:rPr>
          <w:t>LinkedIn</w:t>
        </w:r>
      </w:hyperlink>
      <w:r>
        <w:rPr>
          <w:rFonts w:ascii="Calibri" w:hAnsi="Calibri" w:eastAsia="Calibri"/>
          <w:b w:val="0"/>
          <w:color w:val="00274C"/>
          <w:sz w:val="18"/>
        </w:rPr>
        <w:t xml:space="preserve"> | </w:t>
      </w:r>
      <w:hyperlink r:id="rId13">
        <w:r>
          <w:rPr>
            <w:color w:val="9B1B30"/>
            <w:u w:val="single"/>
            <w:sz w:val="18"/>
            <w:rFonts w:ascii="Calibri" w:hAnsi="Calibri"/>
          </w:rPr>
          <w:t>Google Scholar</w:t>
        </w:r>
      </w:hyperlink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Summary</w:t>
      </w:r>
    </w:p>
    <w:p>
      <w:pPr>
        <w:spacing w:before="40" w:after="80" w:line="276" w:lineRule="auto"/>
        <w:jc w:val="left"/>
      </w:pPr>
      <w:r>
        <w:rPr>
          <w:rFonts w:ascii="Calibri" w:hAnsi="Calibri" w:eastAsia="Calibri"/>
          <w:b w:val="0"/>
          <w:color w:val="222222"/>
          <w:sz w:val="19"/>
        </w:rPr>
        <w:t>Lead AI Engineer specializing in multimodal AI, vision-language systems, generative AI, and production computer vision. Lead 15+ engineers and researchers across applied research, product development, and enterprise delivery. Built and scaled production AI systems supporting 200+ brands, including computer-vision platforms that have processed 4.5M+ images globally.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Experience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Lead AI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Jan 2023-Present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Lead a multidisciplinary team of 15+ ML engineers, software engineers, and researchers across architecture, planning, code review, and delivery; maintain 90-95% on-time delivery across AI engineering projects.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Oversee development of production AI systems across virtual try-on, generative media, 3D reconstruction, catalog audit, and audio QA.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Direct applied research on AI hallucination, prompt safety, visual grounding, and video understanding.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Develop and scale production segmentation and image-processing systems, including Retouched.ai; publish reproducible research code, datasets, and model artifacts on GitHub and Hugging Face.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Senior Machine Learning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Jul 2021-Dec 2022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Improved object detection and segmentation performance by 20-35% across internal evaluation benchmarks; the resulting models were later deployed through Retouched.ai.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Led 6+ client ML engagements from business requirements to technical delivery; built offline evaluation pipelines and production A/B testing workflows to validate model quality, inference performance, and production outcomes.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Machine Learning Engineer, The KOW Company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Jul 2020-Jun 2021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Built deep learning models for production object recognition, image segmentation, and background-removal workflows; developed scalable preprocessing, training, and A/B testing pipelines.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Senior Software Engineer, Smart Technologies (BD) Ltd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Sep 2016-Dec 2019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Led .NET and SQL Server supply-chain systems on a 4 TB database, reducing report generation from 20 minutes to 40-54 seconds.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Achieved 70-75% process automation and 99.9% synchronization success for offline-capable enterprise workflows.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Software Engineer, Proggasoft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Mar 2015-Aug 2016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Developed ASP.NET MVC features, backend services, and database integrations for DevSkill.com.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Key Projects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Retouched.ai - Object Detection and Segmentation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Production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Developed production salient-object segmentation for background removal; improved segmentation quality by 17% on internal benchmarks, reduced processing time by 30%, supported uploads up to 257 MB, and achieved a 2.27-second average processing time across standard production workloads.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Scaled Retouched.ai to process 4.5M+ images globally for hundreds of customers using PyTorch, U²-Net-inspired salient-object segmentation, FastAPI, and Google Cloud Platform.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Omnimage.ai - AI Image and Video Generation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Production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Co-designed and launched production image- and video-generation APIs used across 200+ brands for creative and product-image workflows.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Built workflows for reference-image conditioning, asynchronous processing, prompt classification, intent routing, and automated model selection.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The Fitting Room - Cross-Brand Virtual Try-On Platform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In Development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Conceived and co-led a unified cross-brand virtual try-on platform covering 170+ brands.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Architected a Dockerized FastAPI/Nginx backend using SQL Server, Google Cloud Storage, Redis, recommendation services, and 2D virtual try-on pipelines.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Enterprise AI Catalog Audit and Image Quality Assurance Platform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In Development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Lead development of an AI catalog-audit and image quality assurance platform for a major US retail client.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Automate image QA, catalog validation, metadata checks, and content-health monitoring across DAM and CMS workflows using computer vision, NLP, PyTorch, and FastAPI.</w:t>
      </w:r>
    </w:p>
    <w:p>
      <w:pPr>
        <w:tabs>
          <w:tab w:pos="10080" w:val="right"/>
        </w:tabs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CogniX - Proprietary Multimodal Image Generation and Editing</w:t>
      </w:r>
      <w:r>
        <w:tab/>
      </w:r>
      <w:r>
        <w:rPr>
          <w:rFonts w:ascii="Calibri" w:hAnsi="Calibri" w:eastAsia="Calibri"/>
          <w:b w:val="0"/>
          <w:color w:val="5F6B75"/>
          <w:sz w:val="18"/>
        </w:rPr>
        <w:t>Active R&amp;D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Leading early-stage R&amp;D for a proprietary multimodal image-generation and editing system for product-visualization workflows.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Researching and prototyping multi-reference fusion and prompt-guided image-editing workflows for garment replacement, scene composition, product visualization, and style transfer using PyTorch, Diffusers, ComfyUI, and parameter-efficient fine-tuning (LoRA, QLoRA).</w:t>
      </w:r>
    </w:p>
    <w:p>
      <w:r>
        <w:br w:type="page"/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Peer-Reviewed Publications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Stroke-Level Connectivity Verification: Grounding Vision-Language Models Against Topology Hallucination in Diagram Understanding. Accepted for oral presentation at ICDAR 2026; Corresponding Author.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Automated Detection of Diabetic Retinopathy using Deep Residual Learning. IJCA, 2020.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Preprints and Manuscripts Under Review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 xml:space="preserve">Step-Level Visual Grounding Faithfulness Predicts Out-of-Distribution Generalization in Long-Horizon Vision-Language Models. arXiv preprint, 2026. Under review. </w:t>
      </w:r>
      <w:hyperlink r:id="rId14">
        <w:r>
          <w:rPr>
            <w:color w:val="9B1B30"/>
            <w:u w:val="single"/>
            <w:sz w:val="18"/>
            <w:rFonts w:ascii="Calibri" w:hAnsi="Calibri"/>
          </w:rPr>
          <w:t>arxiv.org/pdf/2603.06828</w:t>
        </w:r>
      </w:hyperlink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 xml:space="preserve">Beyond Dominant Patches: Spatial Credit Redistribution for Grounded Vision-Language Models. arXiv preprint, 2026. Under review. </w:t>
      </w:r>
      <w:hyperlink r:id="rId15">
        <w:r>
          <w:rPr>
            <w:color w:val="9B1B30"/>
            <w:u w:val="single"/>
            <w:sz w:val="18"/>
            <w:rFonts w:ascii="Calibri" w:hAnsi="Calibri"/>
          </w:rPr>
          <w:t>arxiv.org/pdf/2602.22469</w:t>
        </w:r>
      </w:hyperlink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Education</w:t>
      </w:r>
    </w:p>
    <w:p>
      <w:pPr>
        <w:spacing w:before="40" w:after="20" w:line="264" w:lineRule="auto"/>
      </w:pPr>
      <w:r>
        <w:rPr>
          <w:rFonts w:ascii="Calibri" w:hAnsi="Calibri" w:eastAsia="Calibri"/>
          <w:b/>
          <w:color w:val="00274C"/>
          <w:sz w:val="20"/>
        </w:rPr>
        <w:t>B.Sc. in Computer Science and Engineering</w:t>
      </w:r>
    </w:p>
    <w:p>
      <w:pPr>
        <w:spacing w:before="80" w:after="20" w:line="264" w:lineRule="auto"/>
      </w:pPr>
      <w:r>
        <w:rPr>
          <w:rFonts w:ascii="Calibri" w:hAnsi="Calibri" w:eastAsia="Calibri"/>
          <w:b/>
          <w:color w:val="222222"/>
          <w:sz w:val="20"/>
        </w:rPr>
        <w:t>American International University-Bangladesh | 2011-2015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color w:val="222222"/>
          <w:sz w:val="19"/>
        </w:rPr>
        <w:t>CGPA: 3.87/4.00; WES equivalent: 3.94/4.00</w:t>
      </w:r>
    </w:p>
    <w:p>
      <w:pPr>
        <w:spacing w:before="0" w:after="20" w:line="276" w:lineRule="auto"/>
      </w:pPr>
      <w:r>
        <w:rPr>
          <w:rFonts w:ascii="Calibri" w:hAnsi="Calibri" w:eastAsia="Calibri"/>
          <w:b w:val="0"/>
          <w:color w:val="222222"/>
          <w:sz w:val="19"/>
        </w:rPr>
        <w:t>Magna Cum Laude; Top 3%; Merit Scholarship and Tuition Fee Waiver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Awards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Champion, BASIS National ICT Awards 2020 (Retouched.ai); Finalist, APICTA 2021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Languages</w:t>
      </w:r>
    </w:p>
    <w:p>
      <w:pPr>
        <w:pStyle w:val="ListBullet"/>
        <w:spacing w:before="0" w:after="20" w:line="276" w:lineRule="auto"/>
        <w:ind w:left="288"/>
      </w:pPr>
      <w:r>
        <w:rPr>
          <w:rFonts w:ascii="Calibri" w:hAnsi="Calibri" w:eastAsia="Calibri"/>
          <w:b w:val="0"/>
          <w:color w:val="222222"/>
          <w:sz w:val="19"/>
        </w:rPr>
        <w:t>Bengali (Native); English (Professional working proficiency)</w:t>
      </w:r>
    </w:p>
    <w:p>
      <w:pPr>
        <w:spacing w:before="160" w:after="40" w:line="264" w:lineRule="auto"/>
        <w:pBdr>
          <w:bottom w:val="single" w:sz="6" w:space="1" w:color="E4EAEE"/>
        </w:pBdr>
      </w:pPr>
      <w:r>
        <w:rPr>
          <w:rFonts w:ascii="Calibri" w:hAnsi="Calibri" w:eastAsia="Calibri"/>
          <w:b/>
          <w:color w:val="00274C"/>
          <w:sz w:val="22"/>
        </w:rPr>
        <w:t>Skills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Multimodal and Vision-Language AI: </w:t>
      </w:r>
      <w:r>
        <w:rPr>
          <w:rFonts w:ascii="Calibri" w:hAnsi="Calibri" w:eastAsia="Calibri"/>
          <w:b w:val="0"/>
          <w:color w:val="222222"/>
          <w:sz w:val="19"/>
        </w:rPr>
        <w:t>Python, PyTorch, Vision-Language Models, Visual Grounding, Hallucination Evaluation, Multimodal Learning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Generative AI and LLMs: </w:t>
      </w:r>
      <w:r>
        <w:rPr>
          <w:rFonts w:ascii="Calibri" w:hAnsi="Calibri" w:eastAsia="Calibri"/>
          <w:b w:val="0"/>
          <w:color w:val="222222"/>
          <w:sz w:val="19"/>
        </w:rPr>
        <w:t>Diffusion Models, Large Language Models (Llama, Qwen), Prompt Safety, Parameter-Efficient Fine-Tuning (LoRA, QLoRA), Prompt-Guided Image Editing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Computer Vision: </w:t>
      </w:r>
      <w:r>
        <w:rPr>
          <w:rFonts w:ascii="Calibri" w:hAnsi="Calibri" w:eastAsia="Calibri"/>
          <w:b w:val="0"/>
          <w:color w:val="222222"/>
          <w:sz w:val="19"/>
        </w:rPr>
        <w:t>Object Detection, Segmentation, Pose Estimation, Image Quality Assurance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3D Vision: </w:t>
      </w:r>
      <w:r>
        <w:rPr>
          <w:rFonts w:ascii="Calibri" w:hAnsi="Calibri" w:eastAsia="Calibri"/>
          <w:b w:val="0"/>
          <w:color w:val="222222"/>
          <w:sz w:val="19"/>
        </w:rPr>
        <w:t>Structure from Motion, Multi-View Stereo, COLMAP, Open3D, Neural Radiance Fields (NeRF), 3D Gaussian Splatting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Production ML and MLOps: </w:t>
      </w:r>
      <w:r>
        <w:rPr>
          <w:rFonts w:ascii="Calibri" w:hAnsi="Calibri" w:eastAsia="Calibri"/>
          <w:b w:val="0"/>
          <w:color w:val="222222"/>
          <w:sz w:val="19"/>
        </w:rPr>
        <w:t>Model Serving, Production Deployment, Offline Evaluation, Production A/B Testing, Model Evaluation, Dataset Design</w:t>
      </w:r>
    </w:p>
    <w:p>
      <w:pPr>
        <w:spacing w:before="0" w:after="20" w:line="276" w:lineRule="auto"/>
      </w:pPr>
      <w:r>
        <w:rPr>
          <w:rFonts w:ascii="Calibri" w:hAnsi="Calibri" w:eastAsia="Calibri"/>
          <w:b/>
          <w:color w:val="222222"/>
          <w:sz w:val="19"/>
        </w:rPr>
        <w:t xml:space="preserve">Backend and Cloud: </w:t>
      </w:r>
      <w:r>
        <w:rPr>
          <w:rFonts w:ascii="Calibri" w:hAnsi="Calibri" w:eastAsia="Calibri"/>
          <w:b w:val="0"/>
          <w:color w:val="222222"/>
          <w:sz w:val="19"/>
        </w:rPr>
        <w:t>FastAPI, Docker, Nginx, Redis, Google Cloud Platform, Google Cloud Storage, SQL Server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dashikur.rafi@gmail.com" TargetMode="External"/><Relationship Id="rId10" Type="http://schemas.openxmlformats.org/officeDocument/2006/relationships/hyperlink" Target="https://ashikrafi.github.io/" TargetMode="External"/><Relationship Id="rId11" Type="http://schemas.openxmlformats.org/officeDocument/2006/relationships/hyperlink" Target="https://github.com/ashikrafi" TargetMode="External"/><Relationship Id="rId12" Type="http://schemas.openxmlformats.org/officeDocument/2006/relationships/hyperlink" Target="https://www.linkedin.com/in/mdashikrah/" TargetMode="External"/><Relationship Id="rId13" Type="http://schemas.openxmlformats.org/officeDocument/2006/relationships/hyperlink" Target="https://scholar.google.com/citations?user=Htgw_vEAAAAJ&amp;hl=en" TargetMode="External"/><Relationship Id="rId14" Type="http://schemas.openxmlformats.org/officeDocument/2006/relationships/hyperlink" Target="https://arxiv.org/pdf/2603.06828" TargetMode="External"/><Relationship Id="rId15" Type="http://schemas.openxmlformats.org/officeDocument/2006/relationships/hyperlink" Target="https://arxiv.org/pdf/2602.2246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