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Collection Campaign Optimizer</w:t>
      </w:r>
    </w:p>
    <w:p>
      <w:pPr>
        <w:jc w:val="center"/>
      </w:pPr>
      <w:r>
        <w:t>Project Documentation &amp; Execution Report</w:t>
      </w:r>
    </w:p>
    <w:p>
      <w:pPr>
        <w:pStyle w:val="Heading1"/>
      </w:pPr>
      <w:r>
        <w:t>1. Project Overview</w:t>
      </w:r>
    </w:p>
    <w:p>
      <w:r>
        <w:rPr>
          <w:b/>
        </w:rPr>
        <w:t xml:space="preserve">Objective: </w:t>
      </w:r>
      <w:r>
        <w:t>To optimize debt collection channel selection (SMS, Call, Field Visit) using Reinforcement Learning (Contextual Multi-Armed Bandits) to maximize net recovery while minimizing costs.</w:t>
      </w:r>
    </w:p>
    <w:p>
      <w:r>
        <w:t>This system addresses the business problem of inefficient collection strategies by dynamically learning which channel works best for specific customer segments based on their risk profile, outstanding amount, and other behavioral features.</w:t>
      </w:r>
    </w:p>
    <w:p>
      <w:pPr>
        <w:pStyle w:val="Heading1"/>
      </w:pPr>
      <w:r>
        <w:t>2. System Architecture</w:t>
      </w:r>
    </w:p>
    <w:p>
      <w:r>
        <w:t>The project follows a modular architecture:</w:t>
      </w:r>
    </w:p>
    <w:p>
      <w:pPr>
        <w:pStyle w:val="ListBullet"/>
      </w:pPr>
      <w:r>
        <w:rPr>
          <w:b/>
        </w:rPr>
        <w:t xml:space="preserve">Data Layer (Simulator): </w:t>
      </w:r>
      <w:r>
        <w:t>Generates realistic customer profiles and defines the "Ground Truth" logic for channel response probabilities.</w:t>
      </w:r>
    </w:p>
    <w:p>
      <w:pPr>
        <w:pStyle w:val="ListBullet"/>
      </w:pPr>
      <w:r>
        <w:rPr>
          <w:b/>
        </w:rPr>
        <w:t xml:space="preserve">Feature Engineering: </w:t>
      </w:r>
      <w:r>
        <w:t>Transforms raw customer data into numerical vectors (normalization, one-hot encoding) for the models.</w:t>
      </w:r>
    </w:p>
    <w:p>
      <w:pPr>
        <w:pStyle w:val="ListBullet"/>
      </w:pPr>
      <w:r>
        <w:rPr>
          <w:b/>
        </w:rPr>
        <w:t xml:space="preserve">Bandit Core: </w:t>
      </w:r>
      <w:r>
        <w:t>Implements LinUCB (Linear Upper Confidence Bound) and Thompson Sampling algorithms to balance exploration and exploitation.</w:t>
      </w:r>
    </w:p>
    <w:p>
      <w:pPr>
        <w:pStyle w:val="ListBullet"/>
      </w:pPr>
      <w:r>
        <w:rPr>
          <w:b/>
        </w:rPr>
        <w:t xml:space="preserve">API Layer: </w:t>
      </w:r>
      <w:r>
        <w:t>FastAPI service that warm-starts by training on simulated data and serves real-time recommendations.</w:t>
      </w:r>
    </w:p>
    <w:p>
      <w:pPr>
        <w:pStyle w:val="ListBullet"/>
      </w:pPr>
      <w:r>
        <w:rPr>
          <w:b/>
        </w:rPr>
        <w:t xml:space="preserve">Explainability: </w:t>
      </w:r>
      <w:r>
        <w:t>Uses SHAP (SHapley Additive exPlanations) with a proxy Random Forest model to explain why a specific channel was chosen.</w:t>
      </w:r>
    </w:p>
    <w:p>
      <w:pPr>
        <w:pStyle w:val="Heading1"/>
      </w:pPr>
      <w:r>
        <w:t>3. Dataset &amp; Simulator Logic</w:t>
      </w:r>
    </w:p>
    <w:p>
      <w:r>
        <w:t>Since real financial data is sensitive, a Synthetic Data Simulator was built.</w:t>
      </w:r>
    </w:p>
    <w:p>
      <w:pPr>
        <w:pStyle w:val="Heading2"/>
      </w:pPr>
      <w:r>
        <w:t>Customer Features:</w:t>
      </w:r>
    </w:p>
    <w:p>
      <w:pPr>
        <w:pStyle w:val="ListBullet"/>
      </w:pPr>
      <w:r>
        <w:t>Risk Score (0-100)</w:t>
      </w:r>
    </w:p>
    <w:p>
      <w:pPr>
        <w:pStyle w:val="ListBullet"/>
      </w:pPr>
      <w:r>
        <w:t>Outstanding Amount (Exponential dist)</w:t>
      </w:r>
    </w:p>
    <w:p>
      <w:pPr>
        <w:pStyle w:val="ListBullet"/>
      </w:pPr>
      <w:r>
        <w:t>Days Past Due (Gamma dist)</w:t>
      </w:r>
    </w:p>
    <w:p>
      <w:pPr>
        <w:pStyle w:val="ListBullet"/>
      </w:pPr>
      <w:r>
        <w:t>Credit Score Bucket (1-5)</w:t>
      </w:r>
    </w:p>
    <w:p>
      <w:pPr>
        <w:pStyle w:val="ListBullet"/>
      </w:pPr>
      <w:r>
        <w:t>Customer Tier (Basic, Standard, Premium)</w:t>
      </w:r>
    </w:p>
    <w:p>
      <w:pPr>
        <w:pStyle w:val="ListBullet"/>
      </w:pPr>
      <w:r>
        <w:t>Region (North, South, East, West)</w:t>
      </w:r>
    </w:p>
    <w:p>
      <w:pPr>
        <w:pStyle w:val="Heading2"/>
      </w:pPr>
      <w:r>
        <w:t>Channels &amp; Costs:</w:t>
      </w:r>
    </w:p>
    <w:tbl>
      <w:tblPr>
        <w:tblStyle w:val="TableGrid"/>
        <w:tblW w:type="auto" w:w="0"/>
        <w:tblLook w:firstColumn="1" w:firstRow="1" w:lastColumn="0" w:lastRow="0" w:noHBand="0" w:noVBand="1" w:val="04A0"/>
      </w:tblPr>
      <w:tblGrid>
        <w:gridCol w:w="4320"/>
        <w:gridCol w:w="4320"/>
      </w:tblGrid>
      <w:tr>
        <w:tc>
          <w:tcPr>
            <w:tcW w:type="dxa" w:w="4320"/>
          </w:tcPr>
          <w:p>
            <w:r>
              <w:t>Channel</w:t>
            </w:r>
          </w:p>
        </w:tc>
        <w:tc>
          <w:tcPr>
            <w:tcW w:type="dxa" w:w="4320"/>
          </w:tcPr>
          <w:p>
            <w:r>
              <w:t>Cost</w:t>
            </w:r>
          </w:p>
        </w:tc>
      </w:tr>
      <w:tr>
        <w:tc>
          <w:tcPr>
            <w:tcW w:type="dxa" w:w="4320"/>
          </w:tcPr>
          <w:p>
            <w:r>
              <w:t>SMS</w:t>
            </w:r>
          </w:p>
        </w:tc>
        <w:tc>
          <w:tcPr>
            <w:tcW w:type="dxa" w:w="4320"/>
          </w:tcPr>
          <w:p>
            <w:r>
              <w:t>$1.0</w:t>
            </w:r>
          </w:p>
        </w:tc>
      </w:tr>
      <w:tr>
        <w:tc>
          <w:tcPr>
            <w:tcW w:type="dxa" w:w="4320"/>
          </w:tcPr>
          <w:p>
            <w:r>
              <w:t>Call</w:t>
            </w:r>
          </w:p>
        </w:tc>
        <w:tc>
          <w:tcPr>
            <w:tcW w:type="dxa" w:w="4320"/>
          </w:tcPr>
          <w:p>
            <w:r>
              <w:t>$5.0</w:t>
            </w:r>
          </w:p>
        </w:tc>
      </w:tr>
      <w:tr>
        <w:tc>
          <w:tcPr>
            <w:tcW w:type="dxa" w:w="4320"/>
          </w:tcPr>
          <w:p>
            <w:r>
              <w:t>Field Visit</w:t>
            </w:r>
          </w:p>
        </w:tc>
        <w:tc>
          <w:tcPr>
            <w:tcW w:type="dxa" w:w="4320"/>
          </w:tcPr>
          <w:p>
            <w:r>
              <w:t>$20.0</w:t>
            </w:r>
          </w:p>
        </w:tc>
      </w:tr>
    </w:tbl>
    <w:p>
      <w:pPr>
        <w:pStyle w:val="Heading2"/>
      </w:pPr>
      <w:r>
        <w:t>Reward Logic (Ground Truth):</w:t>
      </w:r>
    </w:p>
    <w:p>
      <w:r>
        <w:t>The simulator uses hidden logic to determine recovery probability:</w:t>
      </w:r>
    </w:p>
    <w:p>
      <w:pPr>
        <w:pStyle w:val="ListBullet"/>
      </w:pPr>
      <w:r>
        <w:t>- High Risk (&gt;80) customers respond better to Field Visits.</w:t>
      </w:r>
    </w:p>
    <w:p>
      <w:pPr>
        <w:pStyle w:val="ListBullet"/>
      </w:pPr>
      <w:r>
        <w:t>- Low DPD (&lt;10) customers respond well to SMS (soft nudge).</w:t>
      </w:r>
    </w:p>
    <w:p>
      <w:pPr>
        <w:pStyle w:val="ListBullet"/>
      </w:pPr>
      <w:r>
        <w:t>- High Amount (&gt;10k) warrants higher touch channels (Call).</w:t>
      </w:r>
    </w:p>
    <w:p>
      <w:pPr>
        <w:pStyle w:val="ListNumber"/>
      </w:pPr>
      <w:r>
        <w:t>Net Reward = (Outstanding Amount * Recovery Rate) - Channel Cost</w:t>
      </w:r>
    </w:p>
    <w:p>
      <w:pPr>
        <w:pStyle w:val="Heading1"/>
      </w:pPr>
      <w:r>
        <w:t>4. Implementation Details</w:t>
      </w:r>
    </w:p>
    <w:p>
      <w:pPr>
        <w:pStyle w:val="Heading2"/>
      </w:pPr>
      <w:r>
        <w:t>Tech Stack</w:t>
      </w:r>
    </w:p>
    <w:p>
      <w:r>
        <w:t>Python 3.11, FastAPI, NumPy, Pandas, Scikit-Learn, SHAP, Docker, GitHub Actions.</w:t>
      </w:r>
    </w:p>
    <w:p>
      <w:pPr>
        <w:pStyle w:val="Heading2"/>
      </w:pPr>
      <w:r>
        <w:t>Key Components</w:t>
      </w:r>
    </w:p>
    <w:p>
      <w:r>
        <w:t>Policies implemented in `src/bandits/policies.py`:</w:t>
      </w:r>
    </w:p>
    <w:p>
      <w:r>
        <w:t>- LinUCB: Maintains inverse covariance matrices for each arm to estimate confidence bounds.</w:t>
      </w:r>
    </w:p>
    <w:p>
      <w:r>
        <w:t>- Thompson Sampling: Bayesian linear regression sampling from posterior distributions.</w:t>
      </w:r>
    </w:p>
    <w:p>
      <w:pPr>
        <w:pStyle w:val="Heading2"/>
      </w:pPr>
      <w:r>
        <w:t>Results</w:t>
      </w:r>
    </w:p>
    <w:p>
      <w:r>
        <w:t>In a 2000-round simulation:</w:t>
      </w:r>
    </w:p>
    <w:p>
      <w:pPr>
        <w:pStyle w:val="Quote"/>
      </w:pPr>
      <w:r>
        <w:t>Thompson Sampling achieved ~12.5% uplift over Random baseline.</w:t>
      </w:r>
    </w:p>
    <w:p>
      <w:pPr>
        <w:pStyle w:val="Heading1"/>
      </w:pPr>
      <w:r>
        <w:t>5. Execution Log &amp; Commands</w:t>
      </w:r>
    </w:p>
    <w:p>
      <w:r>
        <w:t>The following commands were used to build and deploy the project:</w:t>
      </w:r>
    </w:p>
    <w:p>
      <w:r>
        <w:rPr>
          <w:b/>
        </w:rPr>
        <w:t xml:space="preserve">Project Setup: </w:t>
      </w:r>
      <w:r>
        <w:rPr>
          <w:rFonts w:ascii="Courier New" w:hAnsi="Courier New"/>
        </w:rPr>
        <w:t>mkdir -p collection-campaign-optimizer/...</w:t>
      </w:r>
    </w:p>
    <w:p>
      <w:r>
        <w:rPr>
          <w:b/>
        </w:rPr>
        <w:t xml:space="preserve">Install Deps: </w:t>
      </w:r>
      <w:r>
        <w:rPr>
          <w:rFonts w:ascii="Courier New" w:hAnsi="Courier New"/>
        </w:rPr>
        <w:t>make install (pip install -r requirements.txt)</w:t>
      </w:r>
    </w:p>
    <w:p>
      <w:r>
        <w:rPr>
          <w:b/>
        </w:rPr>
        <w:t xml:space="preserve">Run Tests: </w:t>
      </w:r>
      <w:r>
        <w:rPr>
          <w:rFonts w:ascii="Courier New" w:hAnsi="Courier New"/>
        </w:rPr>
        <w:t>pytest tests/</w:t>
      </w:r>
    </w:p>
    <w:p>
      <w:r>
        <w:rPr>
          <w:b/>
        </w:rPr>
        <w:t xml:space="preserve">Run Experiment: </w:t>
      </w:r>
      <w:r>
        <w:rPr>
          <w:rFonts w:ascii="Courier New" w:hAnsi="Courier New"/>
        </w:rPr>
        <w:t>python run_experiments.py</w:t>
      </w:r>
    </w:p>
    <w:p>
      <w:r>
        <w:rPr>
          <w:b/>
        </w:rPr>
        <w:t xml:space="preserve">Start API: </w:t>
      </w:r>
      <w:r>
        <w:rPr>
          <w:rFonts w:ascii="Courier New" w:hAnsi="Courier New"/>
        </w:rPr>
        <w:t>make run-api (uvicorn src.api.app:app ...)</w:t>
      </w:r>
    </w:p>
    <w:p>
      <w:r>
        <w:rPr>
          <w:b/>
        </w:rPr>
        <w:t xml:space="preserve">Docker Build: </w:t>
      </w:r>
      <w:r>
        <w:rPr>
          <w:rFonts w:ascii="Courier New" w:hAnsi="Courier New"/>
        </w:rPr>
        <w:t>docker-compose up --build</w:t>
      </w:r>
    </w:p>
    <w:p>
      <w:r>
        <w:rPr>
          <w:b/>
        </w:rPr>
        <w:t xml:space="preserve">Git Init: </w:t>
      </w:r>
      <w:r>
        <w:rPr>
          <w:rFonts w:ascii="Courier New" w:hAnsi="Courier New"/>
        </w:rPr>
        <w:t>git init</w:t>
      </w:r>
    </w:p>
    <w:p>
      <w:r>
        <w:rPr>
          <w:b/>
        </w:rPr>
        <w:t xml:space="preserve">Git Commit: </w:t>
      </w:r>
      <w:r>
        <w:rPr>
          <w:rFonts w:ascii="Courier New" w:hAnsi="Courier New"/>
        </w:rPr>
        <w:t>git add . &amp;&amp; git commit -m 'Initial commit...'</w:t>
      </w:r>
    </w:p>
    <w:p>
      <w:r>
        <w:rPr>
          <w:b/>
        </w:rPr>
        <w:t xml:space="preserve">Git Push: </w:t>
      </w:r>
      <w:r>
        <w:rPr>
          <w:rFonts w:ascii="Courier New" w:hAnsi="Courier New"/>
        </w:rPr>
        <w:t>git push -u origin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