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400"/>
        <w:jc w:val="center"/>
        <w:rPr>
          <w:rFonts w:ascii="Arial" w:cs="Arial" w:eastAsia="Arial" w:hAnsi="Arial"/>
          <w:b/>
          <w:bCs/>
          <w:color w:val="1E3A8A"/>
          <w:sz w:val="36"/>
          <w:szCs w:val="36"/>
        </w:rPr>
      </w:pPr>
      <w:r>
        <w:t xml:space="preserve">BIZMANAGE ERP &amp; POS BILLING PLATFORM</w:t>
      </w:r>
    </w:p>
    <w:p>
      <w:pPr>
        <w:spacing w:after="300" w:before="0"/>
        <w:jc w:val="center"/>
        <w:rPr>
          <w:rFonts w:ascii="Calibri" w:cs="Calibri" w:eastAsia="Calibri" w:hAnsi="Calibri"/>
          <w:color w:val="475569"/>
          <w:sz w:val="24"/>
          <w:szCs w:val="24"/>
        </w:rPr>
      </w:pPr>
      <w:r>
        <w:t xml:space="preserve">The Complete Official Enterprise Marketing &amp; Feature Handbook (2026 Edition)</w:t>
      </w:r>
    </w:p>
    <w:p>
      <w:pPr>
        <w:spacing w:after="400" w:before="0"/>
        <w:jc w:val="center"/>
        <w:rPr>
          <w:rFonts w:ascii="Calibri" w:cs="Calibri" w:eastAsia="Calibri" w:hAnsi="Calibri"/>
          <w:color w:val="64748B"/>
          <w:sz w:val="20"/>
          <w:szCs w:val="20"/>
        </w:rPr>
      </w:pPr>
      <w:r>
        <w:t xml:space="preserve">Authoritative Documentation covering Sales, Purchases, Hardware Barcode POS Billing, Thermal Printing, Restocking Costing, Multi-Tenant Security, and Staff Payroll.</w:t>
      </w:r>
    </w:p>
    <w:p>
      <w:pPr>
        <w:pStyle w:val="Heading1"/>
        <w:spacing w:after="120" w:before="300"/>
        <w:rPr>
          <w:rFonts w:ascii="Arial" w:cs="Arial" w:eastAsia="Arial" w:hAnsi="Arial"/>
          <w:b/>
          <w:bCs/>
          <w:color w:val="1E3A8A"/>
          <w:sz w:val="32"/>
          <w:szCs w:val="32"/>
        </w:rPr>
      </w:pPr>
      <w:r>
        <w:t xml:space="preserve">Table of Contents</w:t>
      </w:r>
    </w:p>
    <w:p>
      <w:pPr>
        <w:pStyle w:val="ListParagraph"/>
        <w:numPr>
          <w:ilvl w:val="0"/>
          <w:numId w:val="1"/>
        </w:numPr>
        <w:spacing w:after="60" w:before="40"/>
      </w:pPr>
      <w:r>
        <w:rPr>
          <w:rFonts w:ascii="Calibri" w:cs="Calibri" w:eastAsia="Calibri" w:hAnsi="Calibri"/>
          <w:color w:val="334155"/>
          <w:sz w:val="22"/>
          <w:szCs w:val="22"/>
        </w:rPr>
        <w:t xml:space="preserve">1. About BizManage Platform &amp; Mission Overview</w:t>
      </w:r>
    </w:p>
    <w:p>
      <w:pPr>
        <w:pStyle w:val="ListParagraph"/>
        <w:numPr>
          <w:ilvl w:val="0"/>
          <w:numId w:val="1"/>
        </w:numPr>
        <w:spacing w:after="60" w:before="40"/>
      </w:pPr>
      <w:r>
        <w:rPr>
          <w:rFonts w:ascii="Calibri" w:cs="Calibri" w:eastAsia="Calibri" w:hAnsi="Calibri"/>
          <w:color w:val="334155"/>
          <w:sz w:val="22"/>
          <w:szCs w:val="22"/>
        </w:rPr>
        <w:t xml:space="preserve">2. Executive Dashboard &amp; Real-Time Profit/Loss Analytics</w:t>
      </w:r>
    </w:p>
    <w:p>
      <w:pPr>
        <w:pStyle w:val="ListParagraph"/>
        <w:numPr>
          <w:ilvl w:val="0"/>
          <w:numId w:val="1"/>
        </w:numPr>
        <w:spacing w:after="60" w:before="40"/>
      </w:pPr>
      <w:r>
        <w:rPr>
          <w:rFonts w:ascii="Calibri" w:cs="Calibri" w:eastAsia="Calibri" w:hAnsi="Calibri"/>
          <w:color w:val="334155"/>
          <w:sz w:val="22"/>
          <w:szCs w:val="22"/>
        </w:rPr>
        <w:t xml:space="preserve">3. POS Counter Mode, Barcode Scanning &amp; Thermal Receipts</w:t>
      </w:r>
    </w:p>
    <w:p>
      <w:pPr>
        <w:pStyle w:val="ListParagraph"/>
        <w:numPr>
          <w:ilvl w:val="0"/>
          <w:numId w:val="1"/>
        </w:numPr>
        <w:spacing w:after="60" w:before="40"/>
      </w:pPr>
      <w:r>
        <w:rPr>
          <w:rFonts w:ascii="Calibri" w:cs="Calibri" w:eastAsia="Calibri" w:hAnsi="Calibri"/>
          <w:color w:val="334155"/>
          <w:sz w:val="22"/>
          <w:szCs w:val="22"/>
        </w:rPr>
        <w:t xml:space="preserve">4. Inventory ERP, Price Restocking &amp; Stock Valuation (AVCO vs FIFO)</w:t>
      </w:r>
    </w:p>
    <w:p>
      <w:pPr>
        <w:pStyle w:val="ListParagraph"/>
        <w:numPr>
          <w:ilvl w:val="0"/>
          <w:numId w:val="1"/>
        </w:numPr>
        <w:spacing w:after="60" w:before="40"/>
      </w:pPr>
      <w:r>
        <w:rPr>
          <w:rFonts w:ascii="Calibri" w:cs="Calibri" w:eastAsia="Calibri" w:hAnsi="Calibri"/>
          <w:color w:val="334155"/>
          <w:sz w:val="22"/>
          <w:szCs w:val="22"/>
        </w:rPr>
        <w:t xml:space="preserve">5. Sales Invoices, 13% VAT Tax Invoices &amp; Customer Party Ledgers</w:t>
      </w:r>
    </w:p>
    <w:p>
      <w:pPr>
        <w:pStyle w:val="ListParagraph"/>
        <w:numPr>
          <w:ilvl w:val="0"/>
          <w:numId w:val="1"/>
        </w:numPr>
        <w:spacing w:after="60" w:before="40"/>
      </w:pPr>
      <w:r>
        <w:rPr>
          <w:rFonts w:ascii="Calibri" w:cs="Calibri" w:eastAsia="Calibri" w:hAnsi="Calibri"/>
          <w:color w:val="334155"/>
          <w:sz w:val="22"/>
          <w:szCs w:val="22"/>
        </w:rPr>
        <w:t xml:space="preserve">6. Purchase Bills, Supplier Accounts &amp; Settlement Vouchers</w:t>
      </w:r>
    </w:p>
    <w:p>
      <w:pPr>
        <w:pStyle w:val="ListParagraph"/>
        <w:numPr>
          <w:ilvl w:val="0"/>
          <w:numId w:val="1"/>
        </w:numPr>
        <w:spacing w:after="60" w:before="40"/>
      </w:pPr>
      <w:r>
        <w:rPr>
          <w:rFonts w:ascii="Calibri" w:cs="Calibri" w:eastAsia="Calibri" w:hAnsi="Calibri"/>
          <w:color w:val="334155"/>
          <w:sz w:val="22"/>
          <w:szCs w:val="22"/>
        </w:rPr>
        <w:t xml:space="preserve">7. Operating Expenses, Other Income &amp; Liquid Cash/Bank Sync</w:t>
      </w:r>
    </w:p>
    <w:p>
      <w:pPr>
        <w:pStyle w:val="ListParagraph"/>
        <w:numPr>
          <w:ilvl w:val="0"/>
          <w:numId w:val="1"/>
        </w:numPr>
        <w:spacing w:after="60" w:before="40"/>
      </w:pPr>
      <w:r>
        <w:rPr>
          <w:rFonts w:ascii="Calibri" w:cs="Calibri" w:eastAsia="Calibri" w:hAnsi="Calibri"/>
          <w:color w:val="334155"/>
          <w:sz w:val="22"/>
          <w:szCs w:val="22"/>
        </w:rPr>
        <w:t xml:space="preserve">8. Staff Attendance, Cashier Shift Clock In/Out &amp; Salary Payroll</w:t>
      </w:r>
    </w:p>
    <w:p>
      <w:pPr>
        <w:pStyle w:val="ListParagraph"/>
        <w:numPr>
          <w:ilvl w:val="0"/>
          <w:numId w:val="1"/>
        </w:numPr>
        <w:spacing w:after="60" w:before="40"/>
      </w:pPr>
      <w:r>
        <w:rPr>
          <w:rFonts w:ascii="Calibri" w:cs="Calibri" w:eastAsia="Calibri" w:hAnsi="Calibri"/>
          <w:color w:val="334155"/>
          <w:sz w:val="22"/>
          <w:szCs w:val="22"/>
        </w:rPr>
        <w:t xml:space="preserve">9. Multi-Tenant Security, Role-Based Access (RBAC) &amp; Subscription Plans</w:t>
      </w:r>
    </w:p>
    <w:p>
      <w:pPr>
        <w:pStyle w:val="ListParagraph"/>
        <w:numPr>
          <w:ilvl w:val="0"/>
          <w:numId w:val="1"/>
        </w:numPr>
        <w:spacing w:after="60" w:before="40"/>
      </w:pPr>
      <w:r>
        <w:rPr>
          <w:rFonts w:ascii="Calibri" w:cs="Calibri" w:eastAsia="Calibri" w:hAnsi="Calibri"/>
          <w:color w:val="334155"/>
          <w:sz w:val="22"/>
          <w:szCs w:val="22"/>
        </w:rPr>
        <w:t xml:space="preserve">10. System Settings, Encrypted JSON Backups &amp; Legal Policies</w:t>
      </w:r>
    </w:p>
    <w:p>
      <w:pPr>
        <w:pStyle w:val="Heading1"/>
        <w:spacing w:after="120" w:before="300"/>
        <w:rPr>
          <w:rFonts w:ascii="Arial" w:cs="Arial" w:eastAsia="Arial" w:hAnsi="Arial"/>
          <w:b/>
          <w:bCs/>
          <w:color w:val="1E3A8A"/>
          <w:sz w:val="32"/>
          <w:szCs w:val="32"/>
        </w:rPr>
      </w:pPr>
      <w:r>
        <w:t xml:space="preserve">Chapter 1: About BizManage Platform &amp; Mission Overview</w:t>
      </w:r>
    </w:p>
    <w:p>
      <w:pPr>
        <w:spacing w:after="100" w:before="60"/>
      </w:pPr>
      <w:r>
        <w:rPr>
          <w:rFonts w:ascii="Calibri" w:cs="Calibri" w:eastAsia="Calibri" w:hAnsi="Calibri"/>
          <w:b w:val="false"/>
          <w:bCs w:val="false"/>
          <w:color w:val="334155"/>
          <w:sz w:val="22"/>
          <w:szCs w:val="22"/>
        </w:rPr>
        <w:t xml:space="preserve">BizManage is an enterprise-grade, cloud-native Business Management, ERP, Accounting, and Point-of-Sale (POS) platform engineered specifically for retail stores, wholesalers, hardware shops, supermarkets, restaurants, and service enterprises.</w:t>
      </w:r>
    </w:p>
    <w:p>
      <w:pPr>
        <w:spacing w:after="100" w:before="60"/>
      </w:pPr>
      <w:r>
        <w:rPr>
          <w:rFonts w:ascii="Calibri" w:cs="Calibri" w:eastAsia="Calibri" w:hAnsi="Calibri"/>
          <w:b w:val="false"/>
          <w:bCs w:val="false"/>
          <w:color w:val="334155"/>
          <w:sz w:val="22"/>
          <w:szCs w:val="22"/>
        </w:rPr>
        <w:t xml:space="preserve">Built on modern high-performance web architecture (Next.js, Tailwind CSS, PostgreSQL Multi-Tenancy), BizManage eliminates the complexity of old desktop accounting software and empowers business owners with real-time financial clarity, automated inventory tracking, and high-speed counter billing.</w:t>
      </w:r>
    </w:p>
    <w:p>
      <w:pPr>
        <w:pStyle w:val="Heading2"/>
        <w:spacing w:after="100" w:before="200"/>
        <w:rPr>
          <w:rFonts w:ascii="Arial" w:cs="Arial" w:eastAsia="Arial" w:hAnsi="Arial"/>
          <w:b/>
          <w:bCs/>
          <w:color w:val="2563EB"/>
          <w:sz w:val="24"/>
          <w:szCs w:val="24"/>
        </w:rPr>
      </w:pPr>
      <w:r>
        <w:t xml:space="preserve">Key Value Propositions</w:t>
      </w:r>
    </w:p>
    <w:p>
      <w:pPr>
        <w:pStyle w:val="ListParagraph"/>
        <w:numPr>
          <w:ilvl w:val="0"/>
          <w:numId w:val="1"/>
        </w:numPr>
        <w:spacing w:after="60" w:before="40"/>
      </w:pPr>
      <w:r>
        <w:rPr>
          <w:rFonts w:ascii="Calibri" w:cs="Calibri" w:eastAsia="Calibri" w:hAnsi="Calibri"/>
          <w:b/>
          <w:bCs/>
          <w:color w:val="0F172A"/>
          <w:sz w:val="22"/>
          <w:szCs w:val="22"/>
        </w:rPr>
        <w:t xml:space="preserve">1. Ease of Use: </w:t>
      </w:r>
      <w:r>
        <w:rPr>
          <w:rFonts w:ascii="Calibri" w:cs="Calibri" w:eastAsia="Calibri" w:hAnsi="Calibri"/>
          <w:color w:val="334155"/>
          <w:sz w:val="22"/>
          <w:szCs w:val="22"/>
        </w:rPr>
        <w:t xml:space="preserve">Zero Accounting Knowledge Required: Automates complex double-entry ledger postings behind clean, intuitive forms.</w:t>
      </w:r>
    </w:p>
    <w:p>
      <w:pPr>
        <w:pStyle w:val="ListParagraph"/>
        <w:numPr>
          <w:ilvl w:val="0"/>
          <w:numId w:val="1"/>
        </w:numPr>
        <w:spacing w:after="60" w:before="40"/>
      </w:pPr>
      <w:r>
        <w:rPr>
          <w:rFonts w:ascii="Calibri" w:cs="Calibri" w:eastAsia="Calibri" w:hAnsi="Calibri"/>
          <w:b/>
          <w:bCs/>
          <w:color w:val="0F172A"/>
          <w:sz w:val="22"/>
          <w:szCs w:val="22"/>
        </w:rPr>
        <w:t xml:space="preserve">2. Multi-Tenant Isolation: </w:t>
      </w:r>
      <w:r>
        <w:rPr>
          <w:rFonts w:ascii="Calibri" w:cs="Calibri" w:eastAsia="Calibri" w:hAnsi="Calibri"/>
          <w:color w:val="334155"/>
          <w:sz w:val="22"/>
          <w:szCs w:val="22"/>
        </w:rPr>
        <w:t xml:space="preserve">Scopes all database queries to verified Tenant IDs so no tenant can ever view another business's records.</w:t>
      </w:r>
    </w:p>
    <w:p>
      <w:pPr>
        <w:pStyle w:val="ListParagraph"/>
        <w:numPr>
          <w:ilvl w:val="0"/>
          <w:numId w:val="1"/>
        </w:numPr>
        <w:spacing w:after="60" w:before="40"/>
      </w:pPr>
      <w:r>
        <w:rPr>
          <w:rFonts w:ascii="Calibri" w:cs="Calibri" w:eastAsia="Calibri" w:hAnsi="Calibri"/>
          <w:b/>
          <w:bCs/>
          <w:color w:val="0F172A"/>
          <w:sz w:val="22"/>
          <w:szCs w:val="22"/>
        </w:rPr>
        <w:t xml:space="preserve">3. POS Hardware Ready: </w:t>
      </w:r>
      <w:r>
        <w:rPr>
          <w:rFonts w:ascii="Calibri" w:cs="Calibri" w:eastAsia="Calibri" w:hAnsi="Calibri"/>
          <w:color w:val="334155"/>
          <w:sz w:val="22"/>
          <w:szCs w:val="22"/>
        </w:rPr>
        <w:t xml:space="preserve">High-contrast thermal receipt formatting with 80mm &amp; 58mm roll width selection, QR verification, and barcode graphics.</w:t>
      </w:r>
    </w:p>
    <w:p>
      <w:pPr>
        <w:pStyle w:val="ListParagraph"/>
        <w:numPr>
          <w:ilvl w:val="0"/>
          <w:numId w:val="1"/>
        </w:numPr>
        <w:spacing w:after="60" w:before="40"/>
      </w:pPr>
      <w:r>
        <w:rPr>
          <w:rFonts w:ascii="Calibri" w:cs="Calibri" w:eastAsia="Calibri" w:hAnsi="Calibri"/>
          <w:b/>
          <w:bCs/>
          <w:color w:val="0F172A"/>
          <w:sz w:val="22"/>
          <w:szCs w:val="22"/>
        </w:rPr>
        <w:t xml:space="preserve">4. Real-Time Profit &amp; Loss: </w:t>
      </w:r>
      <w:r>
        <w:rPr>
          <w:rFonts w:ascii="Calibri" w:cs="Calibri" w:eastAsia="Calibri" w:hAnsi="Calibri"/>
          <w:color w:val="334155"/>
          <w:sz w:val="22"/>
          <w:szCs w:val="22"/>
        </w:rPr>
        <w:t xml:space="preserve">Live COGS calculation comparing gross sales revenue against purchase rates to compute Net Profit instantly.</w:t>
      </w:r>
    </w:p>
    <w:p>
      <w:pPr>
        <w:pStyle w:val="Heading1"/>
        <w:spacing w:after="120" w:before="300"/>
        <w:rPr>
          <w:rFonts w:ascii="Arial" w:cs="Arial" w:eastAsia="Arial" w:hAnsi="Arial"/>
          <w:b/>
          <w:bCs/>
          <w:color w:val="1E3A8A"/>
          <w:sz w:val="32"/>
          <w:szCs w:val="32"/>
        </w:rPr>
      </w:pPr>
      <w:r>
        <w:t xml:space="preserve">Chapter 2: Executive Dashboard &amp; Real-Time Profit/Loss Analytics</w:t>
      </w:r>
    </w:p>
    <w:p>
      <w:pPr>
        <w:spacing w:after="100" w:before="60"/>
      </w:pPr>
      <w:r>
        <w:rPr>
          <w:rFonts w:ascii="Calibri" w:cs="Calibri" w:eastAsia="Calibri" w:hAnsi="Calibri"/>
          <w:b w:val="false"/>
          <w:bCs w:val="false"/>
          <w:color w:val="334155"/>
          <w:sz w:val="22"/>
          <w:szCs w:val="22"/>
        </w:rPr>
        <w:t xml:space="preserve">The Executive Dashboard serves as the command center for business owners, providing instantaneous visibility into net financial health without waiting for end-of-month accountant statements.</w:t>
      </w:r>
    </w:p>
    <w:p>
      <w:pPr>
        <w:pStyle w:val="Heading2"/>
        <w:spacing w:after="100" w:before="200"/>
        <w:rPr>
          <w:rFonts w:ascii="Arial" w:cs="Arial" w:eastAsia="Arial" w:hAnsi="Arial"/>
          <w:b/>
          <w:bCs/>
          <w:color w:val="2563EB"/>
          <w:sz w:val="24"/>
          <w:szCs w:val="24"/>
        </w:rPr>
      </w:pPr>
      <w:r>
        <w:t xml:space="preserve">1. Dynamic Profit / Loss Status Banner</w:t>
      </w:r>
    </w:p>
    <w:p>
      <w:pPr>
        <w:spacing w:after="100" w:before="60"/>
      </w:pPr>
      <w:r>
        <w:rPr>
          <w:rFonts w:ascii="Calibri" w:cs="Calibri" w:eastAsia="Calibri" w:hAnsi="Calibri"/>
          <w:b w:val="false"/>
          <w:bCs w:val="false"/>
          <w:color w:val="334155"/>
          <w:sz w:val="22"/>
          <w:szCs w:val="22"/>
        </w:rPr>
        <w:t xml:space="preserve">At the very top of the dashboard, a dynamic status banner evaluates total net earnings and displays either "WE ARE IN PROFIT" (highlighted in emerald green) or "WE ARE IN LOSS" (highlighted in rose red). This gives owners instant confidence in their overall business performance.</w:t>
      </w:r>
    </w:p>
    <w:p>
      <w:pPr>
        <w:pStyle w:val="Heading2"/>
        <w:spacing w:after="100" w:before="200"/>
        <w:rPr>
          <w:rFonts w:ascii="Arial" w:cs="Arial" w:eastAsia="Arial" w:hAnsi="Arial"/>
          <w:b/>
          <w:bCs/>
          <w:color w:val="2563EB"/>
          <w:sz w:val="24"/>
          <w:szCs w:val="24"/>
        </w:rPr>
      </w:pPr>
      <w:r>
        <w:t xml:space="preserve">2. Core 5 Financial KPI Cards</w:t>
      </w:r>
    </w:p>
    <w:p>
      <w:pPr>
        <w:pStyle w:val="ListParagraph"/>
        <w:numPr>
          <w:ilvl w:val="0"/>
          <w:numId w:val="1"/>
        </w:numPr>
        <w:spacing w:after="60" w:before="40"/>
      </w:pPr>
      <w:r>
        <w:rPr>
          <w:rFonts w:ascii="Calibri" w:cs="Calibri" w:eastAsia="Calibri" w:hAnsi="Calibri"/>
          <w:b/>
          <w:bCs/>
          <w:color w:val="0F172A"/>
          <w:sz w:val="22"/>
          <w:szCs w:val="22"/>
        </w:rPr>
        <w:t xml:space="preserve">Total Sales: </w:t>
      </w:r>
      <w:r>
        <w:rPr>
          <w:rFonts w:ascii="Calibri" w:cs="Calibri" w:eastAsia="Calibri" w:hAnsi="Calibri"/>
          <w:color w:val="334155"/>
          <w:sz w:val="22"/>
          <w:szCs w:val="22"/>
        </w:rPr>
        <w:t xml:space="preserve">Gross revenue generated from all completed sales transactions across the selected period.</w:t>
      </w:r>
    </w:p>
    <w:p>
      <w:pPr>
        <w:pStyle w:val="ListParagraph"/>
        <w:numPr>
          <w:ilvl w:val="0"/>
          <w:numId w:val="1"/>
        </w:numPr>
        <w:spacing w:after="60" w:before="40"/>
      </w:pPr>
      <w:r>
        <w:rPr>
          <w:rFonts w:ascii="Calibri" w:cs="Calibri" w:eastAsia="Calibri" w:hAnsi="Calibri"/>
          <w:b/>
          <w:bCs/>
          <w:color w:val="0F172A"/>
          <w:sz w:val="22"/>
          <w:szCs w:val="22"/>
        </w:rPr>
        <w:t xml:space="preserve">Sales Margin: </w:t>
      </w:r>
      <w:r>
        <w:rPr>
          <w:rFonts w:ascii="Calibri" w:cs="Calibri" w:eastAsia="Calibri" w:hAnsi="Calibri"/>
          <w:color w:val="334155"/>
          <w:sz w:val="22"/>
          <w:szCs w:val="22"/>
        </w:rPr>
        <w:t xml:space="preserve">Gross margin earned on sold merchandise (Sales Revenue minus Cost of Goods Sold / COGS).</w:t>
      </w:r>
    </w:p>
    <w:p>
      <w:pPr>
        <w:pStyle w:val="ListParagraph"/>
        <w:numPr>
          <w:ilvl w:val="0"/>
          <w:numId w:val="1"/>
        </w:numPr>
        <w:spacing w:after="60" w:before="40"/>
      </w:pPr>
      <w:r>
        <w:rPr>
          <w:rFonts w:ascii="Calibri" w:cs="Calibri" w:eastAsia="Calibri" w:hAnsi="Calibri"/>
          <w:b/>
          <w:bCs/>
          <w:color w:val="0F172A"/>
          <w:sz w:val="22"/>
          <w:szCs w:val="22"/>
        </w:rPr>
        <w:t xml:space="preserve">Purchases: </w:t>
      </w:r>
      <w:r>
        <w:rPr>
          <w:rFonts w:ascii="Calibri" w:cs="Calibri" w:eastAsia="Calibri" w:hAnsi="Calibri"/>
          <w:color w:val="334155"/>
          <w:sz w:val="22"/>
          <w:szCs w:val="22"/>
        </w:rPr>
        <w:t xml:space="preserve">Total inventory procurement spend logged through supplier purchase bills.</w:t>
      </w:r>
    </w:p>
    <w:p>
      <w:pPr>
        <w:pStyle w:val="ListParagraph"/>
        <w:numPr>
          <w:ilvl w:val="0"/>
          <w:numId w:val="1"/>
        </w:numPr>
        <w:spacing w:after="60" w:before="40"/>
      </w:pPr>
      <w:r>
        <w:rPr>
          <w:rFonts w:ascii="Calibri" w:cs="Calibri" w:eastAsia="Calibri" w:hAnsi="Calibri"/>
          <w:b/>
          <w:bCs/>
          <w:color w:val="0F172A"/>
          <w:sz w:val="22"/>
          <w:szCs w:val="22"/>
        </w:rPr>
        <w:t xml:space="preserve">Expenses: </w:t>
      </w:r>
      <w:r>
        <w:rPr>
          <w:rFonts w:ascii="Calibri" w:cs="Calibri" w:eastAsia="Calibri" w:hAnsi="Calibri"/>
          <w:color w:val="334155"/>
          <w:sz w:val="22"/>
          <w:szCs w:val="22"/>
        </w:rPr>
        <w:t xml:space="preserve">Operational overhead including shop rent, electricity, staff salaries, tea refreshments, and logistics.</w:t>
      </w:r>
    </w:p>
    <w:p>
      <w:pPr>
        <w:pStyle w:val="ListParagraph"/>
        <w:numPr>
          <w:ilvl w:val="0"/>
          <w:numId w:val="1"/>
        </w:numPr>
        <w:spacing w:after="60" w:before="40"/>
      </w:pPr>
      <w:r>
        <w:rPr>
          <w:rFonts w:ascii="Calibri" w:cs="Calibri" w:eastAsia="Calibri" w:hAnsi="Calibri"/>
          <w:b/>
          <w:bCs/>
          <w:color w:val="0F172A"/>
          <w:sz w:val="22"/>
          <w:szCs w:val="22"/>
        </w:rPr>
        <w:t xml:space="preserve">Total Balance: </w:t>
      </w:r>
      <w:r>
        <w:rPr>
          <w:rFonts w:ascii="Calibri" w:cs="Calibri" w:eastAsia="Calibri" w:hAnsi="Calibri"/>
          <w:color w:val="334155"/>
          <w:sz w:val="22"/>
          <w:szCs w:val="22"/>
        </w:rPr>
        <w:t xml:space="preserve">Current liquid cash across cash counter box, bank accounts, and digital wallets (Fonepay/QR).</w:t>
      </w:r>
    </w:p>
    <w:p>
      <w:pPr>
        <w:pStyle w:val="Heading2"/>
        <w:spacing w:after="100" w:before="200"/>
        <w:rPr>
          <w:rFonts w:ascii="Arial" w:cs="Arial" w:eastAsia="Arial" w:hAnsi="Arial"/>
          <w:b/>
          <w:bCs/>
          <w:color w:val="2563EB"/>
          <w:sz w:val="24"/>
          <w:szCs w:val="24"/>
        </w:rPr>
      </w:pPr>
      <w:r>
        <w:t xml:space="preserve">3. Dynamic Date Filtering</w:t>
      </w:r>
    </w:p>
    <w:p>
      <w:pPr>
        <w:spacing w:after="100" w:before="60"/>
      </w:pPr>
      <w:r>
        <w:rPr>
          <w:rFonts w:ascii="Calibri" w:cs="Calibri" w:eastAsia="Calibri" w:hAnsi="Calibri"/>
          <w:b w:val="false"/>
          <w:bCs w:val="false"/>
          <w:color w:val="334155"/>
          <w:sz w:val="22"/>
          <w:szCs w:val="22"/>
        </w:rPr>
        <w:t xml:space="preserve">Users can filter all dashboard metrics by Today, Last 7 Days, This Month, All Time, or select custom start and end dates from calendar date pickers.</w:t>
      </w:r>
    </w:p>
    <w:p>
      <w:pPr>
        <w:pStyle w:val="Heading1"/>
        <w:spacing w:after="120" w:before="300"/>
        <w:rPr>
          <w:rFonts w:ascii="Arial" w:cs="Arial" w:eastAsia="Arial" w:hAnsi="Arial"/>
          <w:b/>
          <w:bCs/>
          <w:color w:val="1E3A8A"/>
          <w:sz w:val="32"/>
          <w:szCs w:val="32"/>
        </w:rPr>
      </w:pPr>
      <w:r>
        <w:t xml:space="preserve">Chapter 3: POS Counter Mode, Barcode Scanning &amp; Thermal Receipts</w:t>
      </w:r>
    </w:p>
    <w:p>
      <w:pPr>
        <w:spacing w:after="100" w:before="60"/>
      </w:pPr>
      <w:r>
        <w:rPr>
          <w:rFonts w:ascii="Calibri" w:cs="Calibri" w:eastAsia="Calibri" w:hAnsi="Calibri"/>
          <w:b w:val="false"/>
          <w:bCs w:val="false"/>
          <w:color w:val="334155"/>
          <w:sz w:val="22"/>
          <w:szCs w:val="22"/>
        </w:rPr>
        <w:t xml:space="preserve">The POS Counter Billing module is engineered for high-speed retail checkout environments where fast customer throughput and accurate inventory deduction are critical.</w:t>
      </w:r>
    </w:p>
    <w:p>
      <w:pPr>
        <w:pStyle w:val="Heading2"/>
        <w:spacing w:after="100" w:before="200"/>
        <w:rPr>
          <w:rFonts w:ascii="Arial" w:cs="Arial" w:eastAsia="Arial" w:hAnsi="Arial"/>
          <w:b/>
          <w:bCs/>
          <w:color w:val="2563EB"/>
          <w:sz w:val="24"/>
          <w:szCs w:val="24"/>
        </w:rPr>
      </w:pPr>
      <w:r>
        <w:t xml:space="preserve">1. Hardware Barcode Scanning &amp; Smart Tokenized Search</w:t>
      </w:r>
    </w:p>
    <w:p>
      <w:pPr>
        <w:spacing w:after="100" w:before="60"/>
      </w:pPr>
      <w:r>
        <w:rPr>
          <w:rFonts w:ascii="Calibri" w:cs="Calibri" w:eastAsia="Calibri" w:hAnsi="Calibri"/>
          <w:b w:val="false"/>
          <w:bCs w:val="false"/>
          <w:color w:val="334155"/>
          <w:sz w:val="22"/>
          <w:szCs w:val="22"/>
        </w:rPr>
        <w:t xml:space="preserve">Cashiers can scan any barcode SKU using a standard USB/Bluetooth hardware scanner or press Enter to auto-add products directly to the active cart. The search input uses tokenized multi-word matching—typing "shirt cotton" or "cotton shirt" instantly matches product titles in any order.</w:t>
      </w:r>
    </w:p>
    <w:p>
      <w:pPr>
        <w:pStyle w:val="Heading2"/>
        <w:spacing w:after="100" w:before="200"/>
        <w:rPr>
          <w:rFonts w:ascii="Arial" w:cs="Arial" w:eastAsia="Arial" w:hAnsi="Arial"/>
          <w:b/>
          <w:bCs/>
          <w:color w:val="2563EB"/>
          <w:sz w:val="24"/>
          <w:szCs w:val="24"/>
        </w:rPr>
      </w:pPr>
      <w:r>
        <w:t xml:space="preserve">2. Live Stock Badges &amp; Real-Time Cart Deduction</w:t>
      </w:r>
    </w:p>
    <w:p>
      <w:pPr>
        <w:spacing w:after="100" w:before="60"/>
      </w:pPr>
      <w:r>
        <w:rPr>
          <w:rFonts w:ascii="Calibri" w:cs="Calibri" w:eastAsia="Calibri" w:hAnsi="Calibri"/>
          <w:b w:val="false"/>
          <w:bCs w:val="false"/>
          <w:color w:val="334155"/>
          <w:sz w:val="22"/>
          <w:szCs w:val="22"/>
        </w:rPr>
        <w:t xml:space="preserve">Product cards display live available stock (e.g. "Stock: 50 Pcs"). As units are added to the cart, the card dynamically deducts available units in real-time (e.g. "2 in cart | Stock: 48 Pcs"), preventing accidental overselling.</w:t>
      </w:r>
    </w:p>
    <w:p>
      <w:pPr>
        <w:pStyle w:val="Heading2"/>
        <w:spacing w:after="100" w:before="200"/>
        <w:rPr>
          <w:rFonts w:ascii="Arial" w:cs="Arial" w:eastAsia="Arial" w:hAnsi="Arial"/>
          <w:b/>
          <w:bCs/>
          <w:color w:val="2563EB"/>
          <w:sz w:val="24"/>
          <w:szCs w:val="24"/>
        </w:rPr>
      </w:pPr>
      <w:r>
        <w:t xml:space="preserve">3. Cash Change Return Calculator</w:t>
      </w:r>
    </w:p>
    <w:p>
      <w:pPr>
        <w:spacing w:after="100" w:before="60"/>
      </w:pPr>
      <w:r>
        <w:rPr>
          <w:rFonts w:ascii="Calibri" w:cs="Calibri" w:eastAsia="Calibri" w:hAnsi="Calibri"/>
          <w:b w:val="false"/>
          <w:bCs w:val="false"/>
          <w:color w:val="334155"/>
          <w:sz w:val="22"/>
          <w:szCs w:val="22"/>
        </w:rPr>
        <w:t xml:space="preserve">Entering the cash amount tendered by the customer automatically computes exact change return due, eliminating cashier math errors.</w:t>
      </w:r>
    </w:p>
    <w:p>
      <w:pPr>
        <w:pStyle w:val="Heading2"/>
        <w:spacing w:after="100" w:before="200"/>
        <w:rPr>
          <w:rFonts w:ascii="Arial" w:cs="Arial" w:eastAsia="Arial" w:hAnsi="Arial"/>
          <w:b/>
          <w:bCs/>
          <w:color w:val="2563EB"/>
          <w:sz w:val="24"/>
          <w:szCs w:val="24"/>
        </w:rPr>
      </w:pPr>
      <w:r>
        <w:t xml:space="preserve">4. 80mm &amp; 58mm Thermal Bill Printing</w:t>
      </w:r>
    </w:p>
    <w:p>
      <w:pPr>
        <w:spacing w:after="100" w:before="60"/>
      </w:pPr>
      <w:r>
        <w:rPr>
          <w:rFonts w:ascii="Calibri" w:cs="Calibri" w:eastAsia="Calibri" w:hAnsi="Calibri"/>
          <w:b w:val="false"/>
          <w:bCs w:val="false"/>
          <w:color w:val="334155"/>
          <w:sz w:val="22"/>
          <w:szCs w:val="22"/>
        </w:rPr>
        <w:t xml:space="preserve">Prints continuous receipt rolls formatted for standard 80mm or 58mm mini thermal printers with @page CSS size rules:</w:t>
      </w:r>
    </w:p>
    <w:p>
      <w:pPr>
        <w:pStyle w:val="ListParagraph"/>
        <w:numPr>
          <w:ilvl w:val="0"/>
          <w:numId w:val="1"/>
        </w:numPr>
        <w:spacing w:after="60" w:before="40"/>
      </w:pPr>
      <w:r>
        <w:rPr>
          <w:rFonts w:ascii="Calibri" w:cs="Calibri" w:eastAsia="Calibri" w:hAnsi="Calibri"/>
          <w:color w:val="334155"/>
          <w:sz w:val="22"/>
          <w:szCs w:val="22"/>
        </w:rPr>
        <w:t xml:space="preserve">Store Header with PAN/VAT Number, Address, and Phone.</w:t>
      </w:r>
    </w:p>
    <w:p>
      <w:pPr>
        <w:pStyle w:val="ListParagraph"/>
        <w:numPr>
          <w:ilvl w:val="0"/>
          <w:numId w:val="1"/>
        </w:numPr>
        <w:spacing w:after="60" w:before="40"/>
      </w:pPr>
      <w:r>
        <w:rPr>
          <w:rFonts w:ascii="Calibri" w:cs="Calibri" w:eastAsia="Calibri" w:hAnsi="Calibri"/>
          <w:color w:val="334155"/>
          <w:sz w:val="22"/>
          <w:szCs w:val="22"/>
        </w:rPr>
        <w:t xml:space="preserve">High-resolution Invoice Verification QR Code for digital verification.</w:t>
      </w:r>
    </w:p>
    <w:p>
      <w:pPr>
        <w:pStyle w:val="ListParagraph"/>
        <w:numPr>
          <w:ilvl w:val="0"/>
          <w:numId w:val="1"/>
        </w:numPr>
        <w:spacing w:after="60" w:before="40"/>
      </w:pPr>
      <w:r>
        <w:rPr>
          <w:rFonts w:ascii="Calibri" w:cs="Calibri" w:eastAsia="Calibri" w:hAnsi="Calibri"/>
          <w:color w:val="334155"/>
          <w:sz w:val="22"/>
          <w:szCs w:val="22"/>
        </w:rPr>
        <w:t xml:space="preserve">Code-128 simulated Barcode Graphic with invoice number.</w:t>
      </w:r>
    </w:p>
    <w:p>
      <w:pPr>
        <w:pStyle w:val="ListParagraph"/>
        <w:numPr>
          <w:ilvl w:val="0"/>
          <w:numId w:val="1"/>
        </w:numPr>
        <w:spacing w:after="60" w:before="40"/>
      </w:pPr>
      <w:r>
        <w:rPr>
          <w:rFonts w:ascii="Calibri" w:cs="Calibri" w:eastAsia="Calibri" w:hAnsi="Calibri"/>
          <w:color w:val="334155"/>
          <w:sz w:val="22"/>
          <w:szCs w:val="22"/>
        </w:rPr>
        <w:t xml:space="preserve">Items Count and Total Unit Quantity summary line (e.g. "Items: 2 | Total Qty: 5 Pcs").</w:t>
      </w:r>
    </w:p>
    <w:p>
      <w:pPr>
        <w:pStyle w:val="ListParagraph"/>
        <w:numPr>
          <w:ilvl w:val="0"/>
          <w:numId w:val="1"/>
        </w:numPr>
        <w:spacing w:after="60" w:before="40"/>
      </w:pPr>
      <w:r>
        <w:rPr>
          <w:rFonts w:ascii="Calibri" w:cs="Calibri" w:eastAsia="Calibri" w:hAnsi="Calibri"/>
          <w:color w:val="334155"/>
          <w:sz w:val="22"/>
          <w:szCs w:val="22"/>
        </w:rPr>
        <w:t xml:space="preserve">Return policy footer and warranty notes.</w:t>
      </w:r>
    </w:p>
    <w:p>
      <w:pPr>
        <w:pStyle w:val="Heading1"/>
        <w:spacing w:after="120" w:before="300"/>
        <w:rPr>
          <w:rFonts w:ascii="Arial" w:cs="Arial" w:eastAsia="Arial" w:hAnsi="Arial"/>
          <w:b/>
          <w:bCs/>
          <w:color w:val="1E3A8A"/>
          <w:sz w:val="32"/>
          <w:szCs w:val="32"/>
        </w:rPr>
      </w:pPr>
      <w:r>
        <w:t xml:space="preserve">Chapter 4: Inventory ERP, Price Restocking &amp; Stock Valuation</w:t>
      </w:r>
    </w:p>
    <w:p>
      <w:pPr>
        <w:spacing w:after="100" w:before="60"/>
      </w:pPr>
      <w:r>
        <w:rPr>
          <w:rFonts w:ascii="Calibri" w:cs="Calibri" w:eastAsia="Calibri" w:hAnsi="Calibri"/>
          <w:b w:val="false"/>
          <w:bCs w:val="false"/>
          <w:color w:val="334155"/>
          <w:sz w:val="22"/>
          <w:szCs w:val="22"/>
        </w:rPr>
        <w:t xml:space="preserve">BizManage maintains strict item master records containing Item Name, Code/SKU, Unit (Pcs, Kg, Ltr, Box, Dzn, Meter), Category, Purchase Rate, Selling Rate, Opening Stock, and Low Stock Alert thresholds.</w:t>
      </w:r>
    </w:p>
    <w:p>
      <w:pPr>
        <w:pStyle w:val="Heading2"/>
        <w:spacing w:after="100" w:before="200"/>
        <w:rPr>
          <w:rFonts w:ascii="Arial" w:cs="Arial" w:eastAsia="Arial" w:hAnsi="Arial"/>
          <w:b/>
          <w:bCs/>
          <w:color w:val="2563EB"/>
          <w:sz w:val="24"/>
          <w:szCs w:val="24"/>
        </w:rPr>
      </w:pPr>
      <w:r>
        <w:t xml:space="preserve">1. Restocking &amp; Price Fluctuation Handling</w:t>
      </w:r>
    </w:p>
    <w:p>
      <w:pPr>
        <w:spacing w:after="100" w:before="60"/>
      </w:pPr>
      <w:r>
        <w:rPr>
          <w:rFonts w:ascii="Calibri" w:cs="Calibri" w:eastAsia="Calibri" w:hAnsi="Calibri"/>
          <w:b w:val="false"/>
          <w:bCs w:val="false"/>
          <w:color w:val="334155"/>
          <w:sz w:val="22"/>
          <w:szCs w:val="22"/>
        </w:rPr>
        <w:t xml:space="preserve">When restocking products at a higher purchase price (e.g., buying 20 Pcs @ Rs. 300 when remaining old stock is 10 Pcs @ Rs. 200), BizManage handles valuation automatically:</w:t>
      </w:r>
    </w:p>
    <w:p>
      <w:pPr>
        <w:pStyle w:val="ListParagraph"/>
        <w:numPr>
          <w:ilvl w:val="0"/>
          <w:numId w:val="1"/>
        </w:numPr>
        <w:spacing w:after="60" w:before="40"/>
      </w:pPr>
      <w:r>
        <w:rPr>
          <w:rFonts w:ascii="Calibri" w:cs="Calibri" w:eastAsia="Calibri" w:hAnsi="Calibri"/>
          <w:color w:val="334155"/>
          <w:sz w:val="22"/>
          <w:szCs w:val="22"/>
        </w:rPr>
        <w:t xml:space="preserve">Stock Quantity increments automatically (10 + 20 = 30 Pcs).</w:t>
      </w:r>
    </w:p>
    <w:p>
      <w:pPr>
        <w:pStyle w:val="ListParagraph"/>
        <w:numPr>
          <w:ilvl w:val="0"/>
          <w:numId w:val="1"/>
        </w:numPr>
        <w:spacing w:after="60" w:before="40"/>
      </w:pPr>
      <w:r>
        <w:rPr>
          <w:rFonts w:ascii="Calibri" w:cs="Calibri" w:eastAsia="Calibri" w:hAnsi="Calibri"/>
          <w:color w:val="334155"/>
          <w:sz w:val="22"/>
          <w:szCs w:val="22"/>
        </w:rPr>
        <w:t xml:space="preserve">Weighted Average Cost (AVCO) computes average unit cost: (Rs. 2,000 + Rs. 6,000) / 30 = Rs. 266.67 per piece.</w:t>
      </w:r>
    </w:p>
    <w:p>
      <w:pPr>
        <w:pStyle w:val="ListParagraph"/>
        <w:numPr>
          <w:ilvl w:val="0"/>
          <w:numId w:val="1"/>
        </w:numPr>
        <w:spacing w:after="60" w:before="40"/>
      </w:pPr>
      <w:r>
        <w:rPr>
          <w:rFonts w:ascii="Calibri" w:cs="Calibri" w:eastAsia="Calibri" w:hAnsi="Calibri"/>
          <w:color w:val="334155"/>
          <w:sz w:val="22"/>
          <w:szCs w:val="22"/>
        </w:rPr>
        <w:t xml:space="preserve">Selling Price can be updated globally or billed as dual batch line items depending on store preference.</w:t>
      </w:r>
    </w:p>
    <w:p>
      <w:pPr>
        <w:pStyle w:val="Heading1"/>
        <w:spacing w:after="120" w:before="300"/>
        <w:rPr>
          <w:rFonts w:ascii="Arial" w:cs="Arial" w:eastAsia="Arial" w:hAnsi="Arial"/>
          <w:b/>
          <w:bCs/>
          <w:color w:val="1E3A8A"/>
          <w:sz w:val="32"/>
          <w:szCs w:val="32"/>
        </w:rPr>
      </w:pPr>
      <w:r>
        <w:t xml:space="preserve">Chapter 5: Sales Invoices, 13% VAT Tax Invoices &amp; Customer Ledgers</w:t>
      </w:r>
    </w:p>
    <w:p>
      <w:pPr>
        <w:spacing w:after="100" w:before="60"/>
      </w:pPr>
      <w:r>
        <w:rPr>
          <w:rFonts w:ascii="Calibri" w:cs="Calibri" w:eastAsia="Calibri" w:hAnsi="Calibri"/>
          <w:b w:val="false"/>
          <w:bCs w:val="false"/>
          <w:color w:val="334155"/>
          <w:sz w:val="22"/>
          <w:szCs w:val="22"/>
        </w:rPr>
        <w:t xml:space="preserve">Supports both standard retail cash receipts and official 13% VAT Tax Invoices with 9-digit PAN/VAT validation.</w:t>
      </w:r>
    </w:p>
    <w:p>
      <w:pPr>
        <w:pStyle w:val="ListParagraph"/>
        <w:numPr>
          <w:ilvl w:val="0"/>
          <w:numId w:val="1"/>
        </w:numPr>
        <w:spacing w:after="60" w:before="40"/>
      </w:pPr>
      <w:r>
        <w:rPr>
          <w:rFonts w:ascii="Calibri" w:cs="Calibri" w:eastAsia="Calibri" w:hAnsi="Calibri"/>
          <w:color w:val="334155"/>
          <w:sz w:val="22"/>
          <w:szCs w:val="22"/>
        </w:rPr>
        <w:t xml:space="preserve">Normal Bill vs VAT Bill toggle automatically includes PAN numbers and computes 13% VAT tax breakdown.</w:t>
      </w:r>
    </w:p>
    <w:p>
      <w:pPr>
        <w:pStyle w:val="ListParagraph"/>
        <w:numPr>
          <w:ilvl w:val="0"/>
          <w:numId w:val="1"/>
        </w:numPr>
        <w:spacing w:after="60" w:before="40"/>
      </w:pPr>
      <w:r>
        <w:rPr>
          <w:rFonts w:ascii="Calibri" w:cs="Calibri" w:eastAsia="Calibri" w:hAnsi="Calibri"/>
          <w:color w:val="334155"/>
          <w:sz w:val="22"/>
          <w:szCs w:val="22"/>
        </w:rPr>
        <w:t xml:space="preserve">Cash vs Credit (उधारो) Sales: Unpaid credit sales automatically post to the Customer Party Ledger under "To Receive".</w:t>
      </w:r>
    </w:p>
    <w:p>
      <w:pPr>
        <w:pStyle w:val="ListParagraph"/>
        <w:numPr>
          <w:ilvl w:val="0"/>
          <w:numId w:val="1"/>
        </w:numPr>
        <w:spacing w:after="60" w:before="40"/>
      </w:pPr>
      <w:r>
        <w:rPr>
          <w:rFonts w:ascii="Calibri" w:cs="Calibri" w:eastAsia="Calibri" w:hAnsi="Calibri"/>
          <w:color w:val="334155"/>
          <w:sz w:val="22"/>
          <w:szCs w:val="22"/>
        </w:rPr>
        <w:t xml:space="preserve">Total Unit Quantity &amp; Line Count formatting prevents quantity confusion (e.g., "5 Pcs (2 items)").</w:t>
      </w:r>
    </w:p>
    <w:p>
      <w:pPr>
        <w:pStyle w:val="Heading1"/>
        <w:spacing w:after="120" w:before="300"/>
        <w:rPr>
          <w:rFonts w:ascii="Arial" w:cs="Arial" w:eastAsia="Arial" w:hAnsi="Arial"/>
          <w:b/>
          <w:bCs/>
          <w:color w:val="1E3A8A"/>
          <w:sz w:val="32"/>
          <w:szCs w:val="32"/>
        </w:rPr>
      </w:pPr>
      <w:r>
        <w:t xml:space="preserve">Chapter 6: Purchase Bills, Supplier Accounts &amp; Settlement Vouchers</w:t>
      </w:r>
    </w:p>
    <w:p>
      <w:pPr>
        <w:spacing w:after="100" w:before="60"/>
      </w:pPr>
      <w:r>
        <w:rPr>
          <w:rFonts w:ascii="Calibri" w:cs="Calibri" w:eastAsia="Calibri" w:hAnsi="Calibri"/>
          <w:b w:val="false"/>
          <w:bCs w:val="false"/>
          <w:color w:val="334155"/>
          <w:sz w:val="22"/>
          <w:szCs w:val="22"/>
        </w:rPr>
        <w:t xml:space="preserve">Manages wholesale vendor purchases, stock restocking, supplier opening balances ("To Pay"), and credit settlements via Payment Out vouchers (Cash, Bank, Fonepay).</w:t>
      </w:r>
    </w:p>
    <w:p>
      <w:pPr>
        <w:pStyle w:val="Heading1"/>
        <w:spacing w:after="120" w:before="300"/>
        <w:rPr>
          <w:rFonts w:ascii="Arial" w:cs="Arial" w:eastAsia="Arial" w:hAnsi="Arial"/>
          <w:b/>
          <w:bCs/>
          <w:color w:val="1E3A8A"/>
          <w:sz w:val="32"/>
          <w:szCs w:val="32"/>
        </w:rPr>
      </w:pPr>
      <w:r>
        <w:t xml:space="preserve">Chapter 7: Operating Expenses, Other Income &amp; Liquid Cash/Bank Sync</w:t>
      </w:r>
    </w:p>
    <w:p>
      <w:pPr>
        <w:spacing w:after="100" w:before="60"/>
      </w:pPr>
      <w:r>
        <w:rPr>
          <w:rFonts w:ascii="Calibri" w:cs="Calibri" w:eastAsia="Calibri" w:hAnsi="Calibri"/>
          <w:b w:val="false"/>
          <w:bCs w:val="false"/>
          <w:color w:val="334155"/>
          <w:sz w:val="22"/>
          <w:szCs w:val="22"/>
        </w:rPr>
        <w:t xml:space="preserve">Tracks shop rent, electricity, staff salaries, transport, and additional commission income. All recorded expenses automatically feed into the Profit &amp; Loss statement to compute Net Profit.</w:t>
      </w:r>
    </w:p>
    <w:p>
      <w:pPr>
        <w:pStyle w:val="Heading1"/>
        <w:spacing w:after="120" w:before="300"/>
        <w:rPr>
          <w:rFonts w:ascii="Arial" w:cs="Arial" w:eastAsia="Arial" w:hAnsi="Arial"/>
          <w:b/>
          <w:bCs/>
          <w:color w:val="1E3A8A"/>
          <w:sz w:val="32"/>
          <w:szCs w:val="32"/>
        </w:rPr>
      </w:pPr>
      <w:r>
        <w:t xml:space="preserve">Chapter 8: Staff Directory, Shift Clock In/Out &amp; Salary Payroll</w:t>
      </w:r>
    </w:p>
    <w:p>
      <w:pPr>
        <w:spacing w:after="100" w:before="60"/>
      </w:pPr>
      <w:r>
        <w:rPr>
          <w:rFonts w:ascii="Calibri" w:cs="Calibri" w:eastAsia="Calibri" w:hAnsi="Calibri"/>
          <w:b w:val="false"/>
          <w:bCs w:val="false"/>
          <w:color w:val="334155"/>
          <w:sz w:val="22"/>
          <w:szCs w:val="22"/>
        </w:rPr>
        <w:t xml:space="preserve">Comprehensive HR &amp; Staff Payroll management module:</w:t>
      </w:r>
    </w:p>
    <w:p>
      <w:pPr>
        <w:pStyle w:val="ListParagraph"/>
        <w:numPr>
          <w:ilvl w:val="0"/>
          <w:numId w:val="1"/>
        </w:numPr>
        <w:spacing w:after="60" w:before="40"/>
      </w:pPr>
      <w:r>
        <w:rPr>
          <w:rFonts w:ascii="Calibri" w:cs="Calibri" w:eastAsia="Calibri" w:hAnsi="Calibri"/>
          <w:color w:val="334155"/>
          <w:sz w:val="22"/>
          <w:szCs w:val="22"/>
        </w:rPr>
        <w:t xml:space="preserve">Staff Directory: Manage employee records, designations (Cashier, Manager, Accountant), contact numbers, and base monthly salaries.</w:t>
      </w:r>
    </w:p>
    <w:p>
      <w:pPr>
        <w:pStyle w:val="ListParagraph"/>
        <w:numPr>
          <w:ilvl w:val="0"/>
          <w:numId w:val="1"/>
        </w:numPr>
        <w:spacing w:after="60" w:before="40"/>
      </w:pPr>
      <w:r>
        <w:rPr>
          <w:rFonts w:ascii="Calibri" w:cs="Calibri" w:eastAsia="Calibri" w:hAnsi="Calibri"/>
          <w:color w:val="334155"/>
          <w:sz w:val="22"/>
          <w:szCs w:val="22"/>
        </w:rPr>
        <w:t xml:space="preserve">Cashier Shift Tracker: Clock In shift with starting float cash, monitor active shifts, and Clock Out with counter closing cash drawer reconciliation.</w:t>
      </w:r>
    </w:p>
    <w:p>
      <w:pPr>
        <w:pStyle w:val="ListParagraph"/>
        <w:numPr>
          <w:ilvl w:val="0"/>
          <w:numId w:val="1"/>
        </w:numPr>
        <w:spacing w:after="60" w:before="40"/>
      </w:pPr>
      <w:r>
        <w:rPr>
          <w:rFonts w:ascii="Calibri" w:cs="Calibri" w:eastAsia="Calibri" w:hAnsi="Calibri"/>
          <w:color w:val="334155"/>
          <w:sz w:val="22"/>
          <w:szCs w:val="22"/>
        </w:rPr>
        <w:t xml:space="preserve">Monthly Salary Payroll: Issue salary vouchers (Net Paid = Base + Bonus - Advance), deduct from Cash/Bank accounts, and print official Employee Payslips.</w:t>
      </w:r>
    </w:p>
    <w:p>
      <w:pPr>
        <w:pStyle w:val="Heading1"/>
        <w:spacing w:after="120" w:before="300"/>
        <w:rPr>
          <w:rFonts w:ascii="Arial" w:cs="Arial" w:eastAsia="Arial" w:hAnsi="Arial"/>
          <w:b/>
          <w:bCs/>
          <w:color w:val="1E3A8A"/>
          <w:sz w:val="32"/>
          <w:szCs w:val="32"/>
        </w:rPr>
      </w:pPr>
      <w:r>
        <w:t xml:space="preserve">Chapter 9: Multi-Tenant Security, Role-Based Access &amp; Subscriptions</w:t>
      </w:r>
    </w:p>
    <w:p>
      <w:pPr>
        <w:spacing w:after="100" w:before="60"/>
      </w:pPr>
      <w:r>
        <w:rPr>
          <w:rFonts w:ascii="Calibri" w:cs="Calibri" w:eastAsia="Calibri" w:hAnsi="Calibri"/>
          <w:b w:val="false"/>
          <w:bCs w:val="false"/>
          <w:color w:val="334155"/>
          <w:sz w:val="22"/>
          <w:szCs w:val="22"/>
        </w:rPr>
        <w:t xml:space="preserve">Guarantees bank-grade multi-tenant data isolation. Includes Role-Based Access Control (RBAC) to restrict cashiers from viewing sensitive cost margins. Features clean golden Crown lock icons for premium modules and full Superadmin Package Control (/admin/packages).</w:t>
      </w:r>
    </w:p>
    <w:p>
      <w:pPr>
        <w:pStyle w:val="Heading1"/>
        <w:spacing w:after="120" w:before="300"/>
        <w:rPr>
          <w:rFonts w:ascii="Arial" w:cs="Arial" w:eastAsia="Arial" w:hAnsi="Arial"/>
          <w:b/>
          <w:bCs/>
          <w:color w:val="1E3A8A"/>
          <w:sz w:val="32"/>
          <w:szCs w:val="32"/>
        </w:rPr>
      </w:pPr>
      <w:r>
        <w:t xml:space="preserve">Chapter 10: System Settings, Encrypted JSON Backups &amp; Legal Policies</w:t>
      </w:r>
    </w:p>
    <w:p>
      <w:pPr>
        <w:spacing w:after="100" w:before="60"/>
      </w:pPr>
      <w:r>
        <w:rPr>
          <w:rFonts w:ascii="Calibri" w:cs="Calibri" w:eastAsia="Calibri" w:hAnsi="Calibri"/>
          <w:b w:val="false"/>
          <w:bCs w:val="false"/>
          <w:color w:val="334155"/>
          <w:sz w:val="22"/>
          <w:szCs w:val="22"/>
        </w:rPr>
        <w:t xml:space="preserve">Allows admins to configure store branding, tax details, download encrypted offline JSON backups, access bilingual documentation (/guide), and review Privacy, Terms, and Security compliance policies.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2026-08-23T15:20:52.036Z</dcterms:created>
  <dcterms:modified xsi:type="dcterms:W3CDTF">2026-08-23T15:20:52.036Z</dcterms:modified>
</cp:coreProperties>
</file>

<file path=docProps/custom.xml><?xml version="1.0" encoding="utf-8"?>
<Properties xmlns="http://schemas.openxmlformats.org/officeDocument/2006/custom-properties" xmlns:vt="http://schemas.openxmlformats.org/officeDocument/2006/docPropsVTypes"/>
</file>