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756" w:rsidRPr="008E3B0C" w:rsidRDefault="00EA1756" w:rsidP="00EA1756">
      <w:pPr>
        <w:spacing w:after="0" w:line="240" w:lineRule="auto"/>
        <w:jc w:val="center"/>
        <w:rPr>
          <w:rFonts w:ascii="Times New Roman" w:eastAsia="Times New Roman" w:hAnsi="Times New Roman" w:cs="Times New Roman"/>
          <w:b/>
          <w:color w:val="000000" w:themeColor="text1"/>
          <w:sz w:val="28"/>
          <w:szCs w:val="28"/>
          <w:u w:val="single"/>
          <w:shd w:val="clear" w:color="auto" w:fill="FFFFFF"/>
          <w:lang w:eastAsia="en-IN"/>
        </w:rPr>
      </w:pPr>
      <w:r w:rsidRPr="00EA1756">
        <w:rPr>
          <w:rFonts w:ascii="Times New Roman" w:eastAsia="Times New Roman" w:hAnsi="Times New Roman" w:cs="Times New Roman"/>
          <w:b/>
          <w:color w:val="000000" w:themeColor="text1"/>
          <w:sz w:val="28"/>
          <w:szCs w:val="28"/>
          <w:u w:val="single"/>
          <w:shd w:val="clear" w:color="auto" w:fill="FFFFFF"/>
          <w:lang w:eastAsia="en-IN"/>
        </w:rPr>
        <w:t>E</w:t>
      </w:r>
      <w:r w:rsidRPr="008E3B0C">
        <w:rPr>
          <w:rFonts w:ascii="Times New Roman" w:eastAsia="Times New Roman" w:hAnsi="Times New Roman" w:cs="Times New Roman"/>
          <w:b/>
          <w:color w:val="000000" w:themeColor="text1"/>
          <w:sz w:val="28"/>
          <w:szCs w:val="28"/>
          <w:u w:val="single"/>
          <w:shd w:val="clear" w:color="auto" w:fill="FFFFFF"/>
          <w:lang w:eastAsia="en-IN"/>
        </w:rPr>
        <w:t>thics policy (springer)</w:t>
      </w:r>
    </w:p>
    <w:p w:rsidR="00EA1756" w:rsidRPr="008E3B0C" w:rsidRDefault="00EA1756" w:rsidP="00EA1756">
      <w:pPr>
        <w:spacing w:after="0" w:line="240" w:lineRule="auto"/>
        <w:jc w:val="center"/>
        <w:rPr>
          <w:rFonts w:ascii="Times New Roman" w:eastAsia="Times New Roman" w:hAnsi="Times New Roman" w:cs="Times New Roman"/>
          <w:b/>
          <w:color w:val="000000" w:themeColor="text1"/>
          <w:u w:val="single"/>
          <w:shd w:val="clear" w:color="auto" w:fill="FFFFFF"/>
          <w:lang w:eastAsia="en-IN"/>
        </w:rPr>
      </w:pPr>
    </w:p>
    <w:p w:rsidR="00EA1756" w:rsidRPr="008E3B0C" w:rsidRDefault="00EA1756" w:rsidP="00EA1756">
      <w:pPr>
        <w:spacing w:after="0" w:line="240" w:lineRule="auto"/>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shd w:val="clear" w:color="auto" w:fill="FFFFFF"/>
          <w:lang w:eastAsia="en-IN"/>
        </w:rPr>
        <w:t>This journal is committed to upholding the integrity of the scientific record. As a member of the Committee on Publication Ethics (COPE) the journal will follow the COPE guidelines on how to deal with potential acts of misconduct.</w:t>
      </w:r>
    </w:p>
    <w:p w:rsidR="00EA1756" w:rsidRPr="008E3B0C" w:rsidRDefault="00EA1756" w:rsidP="00EA1756">
      <w:pPr>
        <w:spacing w:after="0" w:line="240" w:lineRule="auto"/>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shd w:val="clear" w:color="auto" w:fill="FFFFFF"/>
          <w:lang w:eastAsia="en-IN"/>
        </w:rPr>
        <w:t>Authors should refrain from misrepresenting research results which could damage the trust in the journal, the professionalism of scientific authorship, and ultimately the entire scientific endeavour. Maintaining integrity of the research and its presentation can be achieved by following the rules of good scientific practice, which include:</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The manuscript has not been submitted to more than one journal for simultaneous consideration.</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The manuscript has not been published previously (partly or in full), unless the new work concerns an expansion of previous work (please provide transparency on the re-use of material to avoid the hint of text-recycling (“self-plagiarism”)).</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A single study is not split up into several parts to increase the quantity of submissions and submitted to various journals or to one journal over time (e.g. “salami-publishing”).</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No data have been fabricated or manipulated (including images) to support your conclusions</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No data, text, or theories by others are presented as if they were the author’s own (“plagiarism”). Proper acknowledgements to other works must be given (this includes material that is closely copied (near verbatim), summarized and/or paraphrased), quotation marks are used for verbatim copying of material, and permissions are secured for material that is copyrighted.</w:t>
      </w:r>
    </w:p>
    <w:p w:rsidR="00EA1756" w:rsidRPr="008E3B0C" w:rsidRDefault="00EA1756" w:rsidP="00EA1756">
      <w:pPr>
        <w:shd w:val="clear" w:color="auto" w:fill="FFFFFF"/>
        <w:spacing w:after="0"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b/>
          <w:bCs/>
          <w:color w:val="000000" w:themeColor="text1"/>
          <w:lang w:eastAsia="en-IN"/>
        </w:rPr>
        <w:t>Important note:</w:t>
      </w:r>
      <w:r w:rsidRPr="008E3B0C">
        <w:rPr>
          <w:rFonts w:ascii="Times New Roman" w:eastAsia="Times New Roman" w:hAnsi="Times New Roman" w:cs="Times New Roman"/>
          <w:color w:val="000000" w:themeColor="text1"/>
          <w:lang w:eastAsia="en-IN"/>
        </w:rPr>
        <w:t> the journal may use software to screen for plagiarism.</w:t>
      </w:r>
    </w:p>
    <w:p w:rsidR="00EA1756" w:rsidRPr="008E3B0C" w:rsidRDefault="00EA1756" w:rsidP="00EA1756">
      <w:pPr>
        <w:numPr>
          <w:ilvl w:val="0"/>
          <w:numId w:val="1"/>
        </w:numPr>
        <w:shd w:val="clear" w:color="auto" w:fill="FFFFFF"/>
        <w:spacing w:after="0"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Consent to submit has been received explicitly from all co-authors, as well as from the responsible authorities - tacitly or explicitly - at the institute/organization where the work has been carried out, </w:t>
      </w:r>
      <w:r w:rsidRPr="008E3B0C">
        <w:rPr>
          <w:rFonts w:ascii="Times New Roman" w:eastAsia="Times New Roman" w:hAnsi="Times New Roman" w:cs="Times New Roman"/>
          <w:b/>
          <w:bCs/>
          <w:color w:val="000000" w:themeColor="text1"/>
          <w:lang w:eastAsia="en-IN"/>
        </w:rPr>
        <w:t>before</w:t>
      </w:r>
      <w:r w:rsidRPr="008E3B0C">
        <w:rPr>
          <w:rFonts w:ascii="Times New Roman" w:eastAsia="Times New Roman" w:hAnsi="Times New Roman" w:cs="Times New Roman"/>
          <w:color w:val="000000" w:themeColor="text1"/>
          <w:lang w:eastAsia="en-IN"/>
        </w:rPr>
        <w:t> the work is submitted.</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Authors whose names appear on the submission have contributed sufficiently to the scientific work and therefore share collective responsibility and accountability for the results.</w:t>
      </w:r>
    </w:p>
    <w:p w:rsidR="00EA1756" w:rsidRPr="008E3B0C" w:rsidRDefault="00EA1756" w:rsidP="00EA1756">
      <w:pPr>
        <w:numPr>
          <w:ilvl w:val="0"/>
          <w:numId w:val="1"/>
        </w:numPr>
        <w:shd w:val="clear" w:color="auto" w:fill="FFFFFF"/>
        <w:spacing w:after="0"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Authors are strongly advised to ensure the correct author group, corresponding author, and order of authors at submission. Changes of authorship or in the order of authors are </w:t>
      </w:r>
      <w:r w:rsidRPr="008E3B0C">
        <w:rPr>
          <w:rFonts w:ascii="Times New Roman" w:eastAsia="Times New Roman" w:hAnsi="Times New Roman" w:cs="Times New Roman"/>
          <w:b/>
          <w:bCs/>
          <w:color w:val="000000" w:themeColor="text1"/>
          <w:lang w:eastAsia="en-IN"/>
        </w:rPr>
        <w:t>not</w:t>
      </w:r>
      <w:r w:rsidRPr="008E3B0C">
        <w:rPr>
          <w:rFonts w:ascii="Times New Roman" w:eastAsia="Times New Roman" w:hAnsi="Times New Roman" w:cs="Times New Roman"/>
          <w:color w:val="000000" w:themeColor="text1"/>
          <w:lang w:eastAsia="en-IN"/>
        </w:rPr>
        <w:t>accepted </w:t>
      </w:r>
      <w:r w:rsidRPr="008E3B0C">
        <w:rPr>
          <w:rFonts w:ascii="Times New Roman" w:eastAsia="Times New Roman" w:hAnsi="Times New Roman" w:cs="Times New Roman"/>
          <w:b/>
          <w:bCs/>
          <w:color w:val="000000" w:themeColor="text1"/>
          <w:lang w:eastAsia="en-IN"/>
        </w:rPr>
        <w:t>after</w:t>
      </w:r>
      <w:r w:rsidRPr="008E3B0C">
        <w:rPr>
          <w:rFonts w:ascii="Times New Roman" w:eastAsia="Times New Roman" w:hAnsi="Times New Roman" w:cs="Times New Roman"/>
          <w:color w:val="000000" w:themeColor="text1"/>
          <w:lang w:eastAsia="en-IN"/>
        </w:rPr>
        <w:t> acceptance of a manuscript.</w:t>
      </w:r>
    </w:p>
    <w:p w:rsidR="00EA1756" w:rsidRPr="008E3B0C" w:rsidRDefault="00EA1756" w:rsidP="00EA1756">
      <w:pPr>
        <w:numPr>
          <w:ilvl w:val="0"/>
          <w:numId w:val="1"/>
        </w:numPr>
        <w:shd w:val="clear" w:color="auto" w:fill="FFFFFF"/>
        <w:spacing w:after="0"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Adding and/or deleting authors and/or changing the order of authors </w:t>
      </w:r>
      <w:r w:rsidRPr="008E3B0C">
        <w:rPr>
          <w:rFonts w:ascii="Times New Roman" w:eastAsia="Times New Roman" w:hAnsi="Times New Roman" w:cs="Times New Roman"/>
          <w:b/>
          <w:bCs/>
          <w:color w:val="000000" w:themeColor="text1"/>
          <w:lang w:eastAsia="en-IN"/>
        </w:rPr>
        <w:t>at revision stage</w:t>
      </w:r>
      <w:r w:rsidRPr="008E3B0C">
        <w:rPr>
          <w:rFonts w:ascii="Times New Roman" w:eastAsia="Times New Roman" w:hAnsi="Times New Roman" w:cs="Times New Roman"/>
          <w:color w:val="000000" w:themeColor="text1"/>
          <w:lang w:eastAsia="en-IN"/>
        </w:rPr>
        <w:t> may be justifiably warranted. A letter must accompany the revised manuscript to explain the reason for the change(s) and the contribution role(s) of the added and/or deleted author(s). Further documentation may be required to support your request.</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Requests for addition or removal of authors as a result of authorship disputes after acceptance are honored after formal notification by the institute or independent body and/or when there is agreement between all authors.</w:t>
      </w:r>
    </w:p>
    <w:p w:rsidR="00EA1756" w:rsidRPr="008E3B0C" w:rsidRDefault="00EA1756" w:rsidP="00EA1756">
      <w:pPr>
        <w:numPr>
          <w:ilvl w:val="0"/>
          <w:numId w:val="1"/>
        </w:numPr>
        <w:shd w:val="clear" w:color="auto" w:fill="FFFFFF"/>
        <w:spacing w:after="47" w:line="285" w:lineRule="atLeast"/>
        <w:ind w:left="237"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Upon request authors should be prepared to send relevant documentation or data in order to verify the validity of the results. This could be in the form of raw data, samples, records, etc. Sensitive information in the form of confidential proprietary data is excluded.</w:t>
      </w:r>
    </w:p>
    <w:p w:rsidR="00EA1756" w:rsidRPr="008E3B0C" w:rsidRDefault="00EA1756" w:rsidP="00EA1756">
      <w:pPr>
        <w:spacing w:after="0" w:line="240" w:lineRule="auto"/>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shd w:val="clear" w:color="auto" w:fill="FFFFFF"/>
          <w:lang w:eastAsia="en-IN"/>
        </w:rPr>
        <w:t>If there is a suspicion of misconduct, the journal will carry out an investigation following the COPE guidelines. If, after investigation, the allegation seems to raise valid concerns, the accused author will be contacted and given an opportunity to address the issue. If misconduct has been established beyond reasonable doubt, this may result in the Editor-in-Chief’s implementation of the following measures, including, but not limited to:</w:t>
      </w:r>
    </w:p>
    <w:p w:rsidR="00EA1756" w:rsidRPr="008E3B0C" w:rsidRDefault="00EA1756" w:rsidP="00EA1756">
      <w:pPr>
        <w:numPr>
          <w:ilvl w:val="0"/>
          <w:numId w:val="2"/>
        </w:numPr>
        <w:shd w:val="clear" w:color="auto" w:fill="FFFFFF"/>
        <w:spacing w:after="0" w:line="285" w:lineRule="atLeast"/>
        <w:ind w:left="0"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lastRenderedPageBreak/>
        <w:t>If the article is still under consideration, it may be rejected and returned to the author.</w:t>
      </w:r>
    </w:p>
    <w:p w:rsidR="00EA1756" w:rsidRPr="008E3B0C" w:rsidRDefault="00EA1756" w:rsidP="00EA1756">
      <w:pPr>
        <w:numPr>
          <w:ilvl w:val="0"/>
          <w:numId w:val="2"/>
        </w:numPr>
        <w:shd w:val="clear" w:color="auto" w:fill="FFFFFF"/>
        <w:spacing w:after="0" w:line="285" w:lineRule="atLeast"/>
        <w:ind w:left="0"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If the article has already been published online, depending on the nature and severity of the infraction, either an erratum will be placed with the article or in severe cases complete retraction of the article will occur. The reason must be given in the published erratum or retraction note. Please note that retraction means that the paper is </w:t>
      </w:r>
      <w:r w:rsidRPr="008E3B0C">
        <w:rPr>
          <w:rFonts w:ascii="Times New Roman" w:eastAsia="Times New Roman" w:hAnsi="Times New Roman" w:cs="Times New Roman"/>
          <w:b/>
          <w:bCs/>
          <w:color w:val="000000" w:themeColor="text1"/>
          <w:lang w:eastAsia="en-IN"/>
        </w:rPr>
        <w:t>maintained on the platform</w:t>
      </w:r>
      <w:r w:rsidRPr="008E3B0C">
        <w:rPr>
          <w:rFonts w:ascii="Times New Roman" w:eastAsia="Times New Roman" w:hAnsi="Times New Roman" w:cs="Times New Roman"/>
          <w:color w:val="000000" w:themeColor="text1"/>
          <w:lang w:eastAsia="en-IN"/>
        </w:rPr>
        <w:t>, watermarked "retracted" and explanation for the retraction is provided in a note linked to the watermarked article.</w:t>
      </w:r>
    </w:p>
    <w:p w:rsidR="00EA1756" w:rsidRPr="008E3B0C" w:rsidRDefault="00EA1756" w:rsidP="00EA1756">
      <w:pPr>
        <w:numPr>
          <w:ilvl w:val="0"/>
          <w:numId w:val="2"/>
        </w:numPr>
        <w:shd w:val="clear" w:color="auto" w:fill="FFFFFF"/>
        <w:spacing w:after="0" w:line="285" w:lineRule="atLeast"/>
        <w:ind w:left="0" w:right="712"/>
        <w:jc w:val="both"/>
        <w:rPr>
          <w:rFonts w:ascii="Times New Roman" w:eastAsia="Times New Roman" w:hAnsi="Times New Roman" w:cs="Times New Roman"/>
          <w:color w:val="000000" w:themeColor="text1"/>
          <w:lang w:eastAsia="en-IN"/>
        </w:rPr>
      </w:pPr>
      <w:r w:rsidRPr="008E3B0C">
        <w:rPr>
          <w:rFonts w:ascii="Times New Roman" w:eastAsia="Times New Roman" w:hAnsi="Times New Roman" w:cs="Times New Roman"/>
          <w:color w:val="000000" w:themeColor="text1"/>
          <w:lang w:eastAsia="en-IN"/>
        </w:rPr>
        <w:t>The author’s institution may be informed.</w:t>
      </w:r>
    </w:p>
    <w:p w:rsidR="00664A14" w:rsidRPr="008E3B0C" w:rsidRDefault="00664A14" w:rsidP="00EA1756">
      <w:pPr>
        <w:jc w:val="both"/>
        <w:rPr>
          <w:color w:val="000000" w:themeColor="text1"/>
        </w:rPr>
      </w:pPr>
    </w:p>
    <w:p w:rsidR="00EA1756" w:rsidRPr="008E3B0C" w:rsidRDefault="00EA1756" w:rsidP="00EA1756">
      <w:pPr>
        <w:jc w:val="both"/>
        <w:rPr>
          <w:color w:val="000000" w:themeColor="text1"/>
        </w:rPr>
      </w:pPr>
    </w:p>
    <w:p w:rsidR="00EA1756" w:rsidRPr="008E3B0C" w:rsidRDefault="00EA1756" w:rsidP="00EA1756">
      <w:pPr>
        <w:spacing w:after="0" w:line="240" w:lineRule="auto"/>
        <w:jc w:val="center"/>
        <w:rPr>
          <w:rFonts w:ascii="Times New Roman" w:eastAsia="Times New Roman" w:hAnsi="Times New Roman" w:cs="Times New Roman"/>
          <w:b/>
          <w:color w:val="000000" w:themeColor="text1"/>
          <w:sz w:val="28"/>
          <w:szCs w:val="28"/>
          <w:u w:val="single"/>
          <w:shd w:val="clear" w:color="auto" w:fill="FFFFFF"/>
          <w:lang w:eastAsia="en-IN"/>
        </w:rPr>
      </w:pPr>
      <w:r w:rsidRPr="008E3B0C">
        <w:rPr>
          <w:rFonts w:ascii="Times New Roman" w:eastAsia="Times New Roman" w:hAnsi="Times New Roman" w:cs="Times New Roman"/>
          <w:b/>
          <w:color w:val="000000" w:themeColor="text1"/>
          <w:sz w:val="28"/>
          <w:szCs w:val="28"/>
          <w:u w:val="single"/>
          <w:shd w:val="clear" w:color="auto" w:fill="FFFFFF"/>
          <w:lang w:eastAsia="en-IN"/>
        </w:rPr>
        <w:t>Ethics policy (Elsevier)</w:t>
      </w:r>
    </w:p>
    <w:p w:rsidR="00EA1756" w:rsidRPr="008E3B0C" w:rsidRDefault="00EA1756" w:rsidP="00EA1756">
      <w:pPr>
        <w:spacing w:after="0" w:line="240" w:lineRule="auto"/>
        <w:jc w:val="center"/>
        <w:rPr>
          <w:rFonts w:ascii="Times New Roman" w:eastAsia="Times New Roman" w:hAnsi="Times New Roman" w:cs="Times New Roman"/>
          <w:b/>
          <w:color w:val="000000" w:themeColor="text1"/>
          <w:sz w:val="28"/>
          <w:szCs w:val="28"/>
          <w:u w:val="single"/>
          <w:shd w:val="clear" w:color="auto" w:fill="FFFFFF"/>
          <w:lang w:eastAsia="en-IN"/>
        </w:rPr>
      </w:pPr>
    </w:p>
    <w:p w:rsidR="00EA1756" w:rsidRPr="008E3B0C" w:rsidRDefault="00EA1756" w:rsidP="00EA1756">
      <w:pPr>
        <w:shd w:val="clear" w:color="auto" w:fill="FFFFFF"/>
        <w:spacing w:before="100" w:beforeAutospacing="1" w:after="10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color w:val="000000" w:themeColor="text1"/>
          <w:sz w:val="24"/>
          <w:szCs w:val="24"/>
          <w:lang w:eastAsia="en-IN"/>
        </w:rPr>
        <w:t>The publication of an article in a peer-reviewed journal is an essential building block in the development of a coherent and respected network of knowledge. It is a direct reflection of the quality of work of the author and the institutions that support them. Peer-reviewed articles support and embody the scientific method. It is therefore important to agree upon standards of expected ethical behaviour.</w:t>
      </w:r>
    </w:p>
    <w:p w:rsidR="00EA1756" w:rsidRPr="008E3B0C" w:rsidRDefault="00EA1756" w:rsidP="00EA1756">
      <w:p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color w:val="000000" w:themeColor="text1"/>
          <w:sz w:val="24"/>
          <w:szCs w:val="24"/>
          <w:lang w:eastAsia="en-IN"/>
        </w:rPr>
        <w:t>Information for authors about how to publish ethically is available in the </w:t>
      </w:r>
      <w:hyperlink r:id="rId5" w:tgtFrame="_blank" w:history="1">
        <w:r w:rsidRPr="008E3B0C">
          <w:rPr>
            <w:rFonts w:ascii="Georgia" w:eastAsia="Times New Roman" w:hAnsi="Georgia" w:cs="Times New Roman"/>
            <w:color w:val="000000" w:themeColor="text1"/>
            <w:sz w:val="24"/>
            <w:szCs w:val="24"/>
            <w:lang w:eastAsia="en-IN"/>
          </w:rPr>
          <w:t>Ethics</w:t>
        </w:r>
      </w:hyperlink>
      <w:r w:rsidRPr="008E3B0C">
        <w:rPr>
          <w:rFonts w:ascii="Georgia" w:eastAsia="Times New Roman" w:hAnsi="Georgia" w:cs="Times New Roman"/>
          <w:color w:val="000000" w:themeColor="text1"/>
          <w:sz w:val="24"/>
          <w:szCs w:val="24"/>
          <w:lang w:eastAsia="en-IN"/>
        </w:rPr>
        <w:t> section on the </w:t>
      </w:r>
      <w:hyperlink r:id="rId6" w:tgtFrame="_blank" w:history="1">
        <w:r w:rsidRPr="008E3B0C">
          <w:rPr>
            <w:rFonts w:ascii="Georgia" w:eastAsia="Times New Roman" w:hAnsi="Georgia" w:cs="Times New Roman"/>
            <w:color w:val="000000" w:themeColor="text1"/>
            <w:sz w:val="24"/>
            <w:szCs w:val="24"/>
            <w:lang w:eastAsia="en-IN"/>
          </w:rPr>
          <w:t>Elsevier Publishing Campus</w:t>
        </w:r>
      </w:hyperlink>
      <w:r w:rsidRPr="008E3B0C">
        <w:rPr>
          <w:rFonts w:ascii="Georgia" w:eastAsia="Times New Roman" w:hAnsi="Georgia" w:cs="Times New Roman"/>
          <w:color w:val="000000" w:themeColor="text1"/>
          <w:sz w:val="24"/>
          <w:szCs w:val="24"/>
          <w:lang w:eastAsia="en-IN"/>
        </w:rPr>
        <w:t>. For downloadable resources on ethics, visit the </w:t>
      </w:r>
      <w:hyperlink r:id="rId7" w:tgtFrame="_blank" w:history="1">
        <w:r w:rsidRPr="008E3B0C">
          <w:rPr>
            <w:rFonts w:ascii="Georgia" w:eastAsia="Times New Roman" w:hAnsi="Georgia" w:cs="Times New Roman"/>
            <w:color w:val="000000" w:themeColor="text1"/>
            <w:sz w:val="24"/>
            <w:szCs w:val="24"/>
            <w:lang w:eastAsia="en-IN"/>
          </w:rPr>
          <w:t>Elsevier Publishing Campus Resources</w:t>
        </w:r>
      </w:hyperlink>
      <w:r w:rsidRPr="008E3B0C">
        <w:rPr>
          <w:rFonts w:ascii="Georgia" w:eastAsia="Times New Roman" w:hAnsi="Georgia" w:cs="Times New Roman"/>
          <w:color w:val="000000" w:themeColor="text1"/>
          <w:sz w:val="24"/>
          <w:szCs w:val="24"/>
          <w:lang w:eastAsia="en-IN"/>
        </w:rPr>
        <w:t> section. Other useful information specifically developed for editors but useful for anyone with a deep interest in the topic is the Publishing Ethics Resource Kit.</w:t>
      </w:r>
    </w:p>
    <w:p w:rsidR="00EA1756" w:rsidRPr="008E3B0C" w:rsidRDefault="00EA1756" w:rsidP="00EA1756">
      <w:pPr>
        <w:shd w:val="clear" w:color="auto" w:fill="FFFFFF"/>
        <w:spacing w:before="100" w:beforeAutospacing="1" w:after="10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color w:val="000000" w:themeColor="text1"/>
          <w:sz w:val="24"/>
          <w:szCs w:val="24"/>
          <w:lang w:eastAsia="en-IN"/>
        </w:rPr>
        <w:t>Ethics topics to consider when publishing:</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Authorship of the paper:</w:t>
      </w:r>
      <w:r w:rsidRPr="008E3B0C">
        <w:rPr>
          <w:rFonts w:ascii="Georgia" w:eastAsia="Times New Roman" w:hAnsi="Georgia" w:cs="Times New Roman"/>
          <w:color w:val="000000" w:themeColor="text1"/>
          <w:sz w:val="24"/>
          <w:szCs w:val="24"/>
          <w:lang w:eastAsia="en-IN"/>
        </w:rPr>
        <w:t> Authorship should be limited to those who have made a significant contribution to the conception, design, execution or interpretation of the reported study.</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Originality and plagiarism:</w:t>
      </w:r>
      <w:r w:rsidRPr="008E3B0C">
        <w:rPr>
          <w:rFonts w:ascii="Georgia" w:eastAsia="Times New Roman" w:hAnsi="Georgia" w:cs="Times New Roman"/>
          <w:color w:val="000000" w:themeColor="text1"/>
          <w:sz w:val="24"/>
          <w:szCs w:val="24"/>
          <w:lang w:eastAsia="en-IN"/>
        </w:rPr>
        <w:t> The authors should ensure that they have written entirely original works and if the authors have used the work and/or words of others, that this has been appropriately cited or quoted.</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Data access and retention:</w:t>
      </w:r>
      <w:r w:rsidRPr="008E3B0C">
        <w:rPr>
          <w:rFonts w:ascii="Georgia" w:eastAsia="Times New Roman" w:hAnsi="Georgia" w:cs="Times New Roman"/>
          <w:color w:val="000000" w:themeColor="text1"/>
          <w:sz w:val="24"/>
          <w:szCs w:val="24"/>
          <w:lang w:eastAsia="en-IN"/>
        </w:rPr>
        <w:t> Authors may be asked to provide the raw data in connection with a paper for editorial review and should be prepared to provide public access to such data.</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Multiple, redundant or concurrent publication:</w:t>
      </w:r>
      <w:r w:rsidRPr="008E3B0C">
        <w:rPr>
          <w:rFonts w:ascii="Georgia" w:eastAsia="Times New Roman" w:hAnsi="Georgia" w:cs="Times New Roman"/>
          <w:color w:val="000000" w:themeColor="text1"/>
          <w:sz w:val="24"/>
          <w:szCs w:val="24"/>
          <w:lang w:eastAsia="en-IN"/>
        </w:rPr>
        <w:t> An author should not in general publish manuscripts describing essentially the same research in more than one journal or primary publication. Elsevier does not view the following uses of a work as prior publication: publication in the form of an abstract; publication as an academic thesis; publication as an electronic preprint. Information on prior publication is included within each Elsevier journal’s Guide for Authors. Note: </w:t>
      </w:r>
      <w:hyperlink r:id="rId8" w:tgtFrame="_blank" w:history="1">
        <w:r w:rsidRPr="008E3B0C">
          <w:rPr>
            <w:rFonts w:ascii="Georgia" w:eastAsia="Times New Roman" w:hAnsi="Georgia" w:cs="Times New Roman"/>
            <w:i/>
            <w:iCs/>
            <w:color w:val="000000" w:themeColor="text1"/>
            <w:sz w:val="24"/>
            <w:szCs w:val="24"/>
            <w:lang w:eastAsia="en-IN"/>
          </w:rPr>
          <w:t>Cell Press</w:t>
        </w:r>
      </w:hyperlink>
      <w:r w:rsidRPr="008E3B0C">
        <w:rPr>
          <w:rFonts w:ascii="Georgia" w:eastAsia="Times New Roman" w:hAnsi="Georgia" w:cs="Times New Roman"/>
          <w:color w:val="000000" w:themeColor="text1"/>
          <w:sz w:val="24"/>
          <w:szCs w:val="24"/>
          <w:lang w:eastAsia="en-IN"/>
        </w:rPr>
        <w:t>,</w:t>
      </w:r>
      <w:hyperlink r:id="rId9" w:tgtFrame="_blank" w:history="1">
        <w:r w:rsidRPr="008E3B0C">
          <w:rPr>
            <w:rFonts w:ascii="Georgia" w:eastAsia="Times New Roman" w:hAnsi="Georgia" w:cs="Times New Roman"/>
            <w:color w:val="000000" w:themeColor="text1"/>
            <w:sz w:val="24"/>
            <w:szCs w:val="24"/>
            <w:lang w:eastAsia="en-IN"/>
          </w:rPr>
          <w:t> </w:t>
        </w:r>
        <w:r w:rsidRPr="008E3B0C">
          <w:rPr>
            <w:rFonts w:ascii="Georgia" w:eastAsia="Times New Roman" w:hAnsi="Georgia" w:cs="Times New Roman"/>
            <w:i/>
            <w:iCs/>
            <w:color w:val="000000" w:themeColor="text1"/>
            <w:sz w:val="24"/>
            <w:szCs w:val="24"/>
            <w:lang w:eastAsia="en-IN"/>
          </w:rPr>
          <w:t>The Lancet</w:t>
        </w:r>
      </w:hyperlink>
      <w:r w:rsidRPr="008E3B0C">
        <w:rPr>
          <w:rFonts w:ascii="Georgia" w:eastAsia="Times New Roman" w:hAnsi="Georgia" w:cs="Times New Roman"/>
          <w:color w:val="000000" w:themeColor="text1"/>
          <w:sz w:val="24"/>
          <w:szCs w:val="24"/>
          <w:lang w:eastAsia="en-IN"/>
        </w:rPr>
        <w:t>, and some society-owned titles have different policies on prior publication. Information on these is available on the journal homepage.</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Acknowledgement of sources:</w:t>
      </w:r>
      <w:r w:rsidRPr="008E3B0C">
        <w:rPr>
          <w:rFonts w:ascii="Georgia" w:eastAsia="Times New Roman" w:hAnsi="Georgia" w:cs="Times New Roman"/>
          <w:color w:val="000000" w:themeColor="text1"/>
          <w:sz w:val="24"/>
          <w:szCs w:val="24"/>
          <w:lang w:eastAsia="en-IN"/>
        </w:rPr>
        <w:t> proper acknowledgement.</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Disclosure and conflicts of interest:</w:t>
      </w:r>
      <w:r w:rsidRPr="008E3B0C">
        <w:rPr>
          <w:rFonts w:ascii="Georgia" w:eastAsia="Times New Roman" w:hAnsi="Georgia" w:cs="Times New Roman"/>
          <w:color w:val="000000" w:themeColor="text1"/>
          <w:sz w:val="24"/>
          <w:szCs w:val="24"/>
          <w:lang w:eastAsia="en-IN"/>
        </w:rPr>
        <w:t> All submissions must include disclosure of all relationships that could be viewed as presenting a potential conflict of interest.</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lastRenderedPageBreak/>
        <w:t>Fundamental errors in published works:</w:t>
      </w:r>
      <w:r w:rsidRPr="008E3B0C">
        <w:rPr>
          <w:rFonts w:ascii="Georgia" w:eastAsia="Times New Roman" w:hAnsi="Georgia" w:cs="Times New Roman"/>
          <w:color w:val="000000" w:themeColor="text1"/>
          <w:sz w:val="24"/>
          <w:szCs w:val="24"/>
          <w:lang w:eastAsia="en-IN"/>
        </w:rPr>
        <w:t> When an author discovers a significant error or inaccuracy in his/her own published work, it is the author's obligation to promptly notify the journal editor or publisher and cooperate with the editor to retract or correct the paper.</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Reporting standards:</w:t>
      </w:r>
      <w:r w:rsidRPr="008E3B0C">
        <w:rPr>
          <w:rFonts w:ascii="Georgia" w:eastAsia="Times New Roman" w:hAnsi="Georgia" w:cs="Times New Roman"/>
          <w:color w:val="000000" w:themeColor="text1"/>
          <w:sz w:val="24"/>
          <w:szCs w:val="24"/>
          <w:lang w:eastAsia="en-IN"/>
        </w:rPr>
        <w:t> Authors of reports of original research should present an accurate account of the work performed as well as an objective discussion of its significance.</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Hazards and human or animal subjects:</w:t>
      </w:r>
      <w:r w:rsidRPr="008E3B0C">
        <w:rPr>
          <w:rFonts w:ascii="Georgia" w:eastAsia="Times New Roman" w:hAnsi="Georgia" w:cs="Times New Roman"/>
          <w:color w:val="000000" w:themeColor="text1"/>
          <w:sz w:val="24"/>
          <w:szCs w:val="24"/>
          <w:lang w:eastAsia="en-IN"/>
        </w:rPr>
        <w:t> Statements of compliance are required if the work involves chemicals, procedures or equipment that have any unusual hazards inherent in their use or if it involves the use of animal or human subjects.</w:t>
      </w:r>
    </w:p>
    <w:p w:rsidR="00EA1756" w:rsidRPr="008E3B0C" w:rsidRDefault="00EA1756" w:rsidP="00EA1756">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000000" w:themeColor="text1"/>
          <w:sz w:val="24"/>
          <w:szCs w:val="24"/>
          <w:lang w:eastAsia="en-IN"/>
        </w:rPr>
      </w:pPr>
      <w:r w:rsidRPr="008E3B0C">
        <w:rPr>
          <w:rFonts w:ascii="Georgia" w:eastAsia="Times New Roman" w:hAnsi="Georgia" w:cs="Times New Roman"/>
          <w:b/>
          <w:bCs/>
          <w:color w:val="000000" w:themeColor="text1"/>
          <w:sz w:val="24"/>
          <w:szCs w:val="24"/>
          <w:lang w:eastAsia="en-IN"/>
        </w:rPr>
        <w:t>Use of patient images or case details:</w:t>
      </w:r>
      <w:r w:rsidRPr="008E3B0C">
        <w:rPr>
          <w:rFonts w:ascii="Georgia" w:eastAsia="Times New Roman" w:hAnsi="Georgia" w:cs="Times New Roman"/>
          <w:color w:val="000000" w:themeColor="text1"/>
          <w:sz w:val="24"/>
          <w:szCs w:val="24"/>
          <w:lang w:eastAsia="en-IN"/>
        </w:rPr>
        <w:t> Studies on patients or volunteers require ethics committee approval and informed consent, which should be documented in the paper.</w:t>
      </w:r>
    </w:p>
    <w:p w:rsidR="00EA1756" w:rsidRPr="008E3B0C" w:rsidRDefault="00EA1756" w:rsidP="00EA1756">
      <w:pPr>
        <w:spacing w:after="0" w:line="240" w:lineRule="auto"/>
        <w:jc w:val="center"/>
        <w:rPr>
          <w:rFonts w:ascii="Times New Roman" w:eastAsia="Times New Roman" w:hAnsi="Times New Roman" w:cs="Times New Roman"/>
          <w:b/>
          <w:color w:val="000000" w:themeColor="text1"/>
          <w:sz w:val="28"/>
          <w:szCs w:val="28"/>
          <w:u w:val="single"/>
          <w:shd w:val="clear" w:color="auto" w:fill="FFFFFF"/>
          <w:lang w:eastAsia="en-IN"/>
        </w:rPr>
      </w:pPr>
    </w:p>
    <w:p w:rsidR="00EA1756" w:rsidRDefault="00EA1756" w:rsidP="00EA1756">
      <w:pPr>
        <w:jc w:val="both"/>
      </w:pPr>
    </w:p>
    <w:sectPr w:rsidR="00EA1756" w:rsidSect="00664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1060A"/>
    <w:multiLevelType w:val="multilevel"/>
    <w:tmpl w:val="AC9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E2C87"/>
    <w:multiLevelType w:val="multilevel"/>
    <w:tmpl w:val="EE9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9C75B4"/>
    <w:multiLevelType w:val="multilevel"/>
    <w:tmpl w:val="632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EA1756"/>
    <w:rsid w:val="005A4820"/>
    <w:rsid w:val="00664A14"/>
    <w:rsid w:val="00787607"/>
    <w:rsid w:val="008E3B0C"/>
    <w:rsid w:val="0093181B"/>
    <w:rsid w:val="00EA17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1756"/>
    <w:rPr>
      <w:b/>
      <w:bCs/>
    </w:rPr>
  </w:style>
  <w:style w:type="paragraph" w:styleId="NormalWeb">
    <w:name w:val="Normal (Web)"/>
    <w:basedOn w:val="Normal"/>
    <w:uiPriority w:val="99"/>
    <w:semiHidden/>
    <w:unhideWhenUsed/>
    <w:rsid w:val="00EA1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1756"/>
    <w:rPr>
      <w:color w:val="0000FF"/>
      <w:u w:val="single"/>
    </w:rPr>
  </w:style>
  <w:style w:type="character" w:styleId="Emphasis">
    <w:name w:val="Emphasis"/>
    <w:basedOn w:val="DefaultParagraphFont"/>
    <w:uiPriority w:val="20"/>
    <w:qFormat/>
    <w:rsid w:val="00EA1756"/>
    <w:rPr>
      <w:i/>
      <w:iCs/>
    </w:rPr>
  </w:style>
</w:styles>
</file>

<file path=word/webSettings.xml><?xml version="1.0" encoding="utf-8"?>
<w:webSettings xmlns:r="http://schemas.openxmlformats.org/officeDocument/2006/relationships" xmlns:w="http://schemas.openxmlformats.org/wordprocessingml/2006/main">
  <w:divs>
    <w:div w:id="958729092">
      <w:bodyDiv w:val="1"/>
      <w:marLeft w:val="0"/>
      <w:marRight w:val="0"/>
      <w:marTop w:val="0"/>
      <w:marBottom w:val="0"/>
      <w:divBdr>
        <w:top w:val="none" w:sz="0" w:space="0" w:color="auto"/>
        <w:left w:val="none" w:sz="0" w:space="0" w:color="auto"/>
        <w:bottom w:val="none" w:sz="0" w:space="0" w:color="auto"/>
        <w:right w:val="none" w:sz="0" w:space="0" w:color="auto"/>
      </w:divBdr>
    </w:div>
    <w:div w:id="18075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l.com/cell/authors" TargetMode="External"/><Relationship Id="rId3" Type="http://schemas.openxmlformats.org/officeDocument/2006/relationships/settings" Target="settings.xml"/><Relationship Id="rId7" Type="http://schemas.openxmlformats.org/officeDocument/2006/relationships/hyperlink" Target="https://www.publishingcampus.elsevier.com/pages/154/Colleges/College-of-Skills-Training/Resources-for-Skills-Training/Quick-Guides-and-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blishingcampus.elsevier.com/" TargetMode="External"/><Relationship Id="rId11" Type="http://schemas.openxmlformats.org/officeDocument/2006/relationships/theme" Target="theme/theme1.xml"/><Relationship Id="rId5" Type="http://schemas.openxmlformats.org/officeDocument/2006/relationships/hyperlink" Target="https://www.publishingcampus.elsevier.com/pages/63/ethics/Publishing-eth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lancet.com/lancet/information-for-authors/disclosure-of-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2018-05-28T07:58:00Z</dcterms:created>
  <dcterms:modified xsi:type="dcterms:W3CDTF">2018-05-28T08:57:00Z</dcterms:modified>
</cp:coreProperties>
</file>