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323832"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CAPITAL BUDGETING</w:t>
      </w:r>
    </w:p>
    <w:p w:rsidR="00294424" w:rsidRPr="00850C6F" w:rsidRDefault="00294424" w:rsidP="00294424">
      <w:pPr>
        <w:jc w:val="center"/>
        <w:rPr>
          <w:rFonts w:ascii="Arial Rounded MT Bold" w:eastAsia="Arial Unicode MS" w:hAnsi="Arial Rounded MT Bold" w:cs="Arial Unicode MS"/>
          <w:b/>
          <w:color w:val="FF0000"/>
          <w:u w:val="single"/>
        </w:rPr>
      </w:pPr>
      <w:r w:rsidRPr="00850C6F">
        <w:rPr>
          <w:rFonts w:ascii="Arial Rounded MT Bold" w:eastAsia="Arial Unicode MS" w:hAnsi="Arial Rounded MT Bold" w:cs="Arial Unicode MS"/>
          <w:b/>
          <w:color w:val="FF0000"/>
          <w:u w:val="single"/>
        </w:rPr>
        <w:t>INTRODUCTION</w:t>
      </w:r>
    </w:p>
    <w:p w:rsidR="00AF16A0" w:rsidRDefault="005B087F" w:rsidP="00DF047E">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Capital budgeting is the finance process involved in assessing the viability of independent or mutually exclusive</w:t>
      </w:r>
      <w:r w:rsidR="009C713C">
        <w:rPr>
          <w:rFonts w:ascii="Arial Rounded MT Bold" w:eastAsia="Arial Unicode MS" w:hAnsi="Arial Rounded MT Bold" w:cs="Arial Unicode MS"/>
          <w:color w:val="0070C0"/>
        </w:rPr>
        <w:t xml:space="preserve"> investment or expansion projects or firms. It is also referred to as investment appraisal. It employs various </w:t>
      </w:r>
      <w:r w:rsidR="00DD0C69">
        <w:rPr>
          <w:rFonts w:ascii="Arial Rounded MT Bold" w:eastAsia="Arial Unicode MS" w:hAnsi="Arial Rounded MT Bold" w:cs="Arial Unicode MS"/>
          <w:color w:val="0070C0"/>
        </w:rPr>
        <w:t xml:space="preserve">methods and techniques to assess </w:t>
      </w:r>
      <w:r w:rsidR="009C713C">
        <w:rPr>
          <w:rFonts w:ascii="Arial Rounded MT Bold" w:eastAsia="Arial Unicode MS" w:hAnsi="Arial Rounded MT Bold" w:cs="Arial Unicode MS"/>
          <w:color w:val="0070C0"/>
        </w:rPr>
        <w:t xml:space="preserve">whether single or independent projects or two or more </w:t>
      </w:r>
      <w:r w:rsidR="00DD0C69">
        <w:rPr>
          <w:rFonts w:ascii="Arial Rounded MT Bold" w:eastAsia="Arial Unicode MS" w:hAnsi="Arial Rounded MT Bold" w:cs="Arial Unicode MS"/>
          <w:color w:val="0070C0"/>
        </w:rPr>
        <w:t xml:space="preserve">dependent or mutually exclusive projects should be undertaken. </w:t>
      </w:r>
    </w:p>
    <w:p w:rsidR="000A4DD3" w:rsidRDefault="00044E1D" w:rsidP="000A4DD3">
      <w:pPr>
        <w:jc w:val="cente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b/>
          <w:color w:val="FF0000"/>
          <w:u w:val="single"/>
        </w:rPr>
        <w:t xml:space="preserve">ANALYSIS OF </w:t>
      </w:r>
      <w:r w:rsidR="00C426D0">
        <w:rPr>
          <w:rFonts w:ascii="Arial Rounded MT Bold" w:eastAsia="Arial Unicode MS" w:hAnsi="Arial Rounded MT Bold" w:cs="Arial Unicode MS"/>
          <w:b/>
          <w:color w:val="FF0000"/>
          <w:u w:val="single"/>
        </w:rPr>
        <w:t xml:space="preserve">CAPITAL BUDGETING TECHNIQUES </w:t>
      </w:r>
    </w:p>
    <w:p w:rsidR="00294424" w:rsidRDefault="000A4DD3" w:rsidP="000A4DD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Capital</w:t>
      </w:r>
      <w:r>
        <w:rPr>
          <w:rFonts w:ascii="Arial Rounded MT Bold" w:eastAsia="Arial Unicode MS" w:hAnsi="Arial Rounded MT Bold" w:cs="Arial Unicode MS"/>
          <w:color w:val="0070C0"/>
        </w:rPr>
        <w:t xml:space="preserve"> budgeting techniques or investment appraisal methods are categorized into two groups.</w:t>
      </w:r>
    </w:p>
    <w:p w:rsidR="000A4DD3" w:rsidRPr="000A4DD3" w:rsidRDefault="000A4DD3" w:rsidP="000A4DD3">
      <w:pPr>
        <w:pStyle w:val="ListParagraph"/>
        <w:numPr>
          <w:ilvl w:val="0"/>
          <w:numId w:val="3"/>
        </w:numP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color w:val="0070C0"/>
        </w:rPr>
        <w:t>Discounted methods. These are the techniques which are based on the interest rate of return or discount rate used to discount the project or investment cash inflows and outflows. They include the net present value method</w:t>
      </w:r>
      <w:r w:rsidR="000B152C">
        <w:rPr>
          <w:rFonts w:ascii="Arial Rounded MT Bold" w:eastAsia="Arial Unicode MS" w:hAnsi="Arial Rounded MT Bold" w:cs="Arial Unicode MS"/>
          <w:color w:val="0070C0"/>
        </w:rPr>
        <w:t xml:space="preserve"> (NPV)</w:t>
      </w:r>
      <w:r>
        <w:rPr>
          <w:rFonts w:ascii="Arial Rounded MT Bold" w:eastAsia="Arial Unicode MS" w:hAnsi="Arial Rounded MT Bold" w:cs="Arial Unicode MS"/>
          <w:color w:val="0070C0"/>
        </w:rPr>
        <w:t>, pr</w:t>
      </w:r>
      <w:r w:rsidR="006C6840">
        <w:rPr>
          <w:rFonts w:ascii="Arial Rounded MT Bold" w:eastAsia="Arial Unicode MS" w:hAnsi="Arial Rounded MT Bold" w:cs="Arial Unicode MS"/>
          <w:color w:val="0070C0"/>
        </w:rPr>
        <w:t>oject internal rate of return, profitability in</w:t>
      </w:r>
      <w:r w:rsidR="00D40663">
        <w:rPr>
          <w:rFonts w:ascii="Arial Rounded MT Bold" w:eastAsia="Arial Unicode MS" w:hAnsi="Arial Rounded MT Bold" w:cs="Arial Unicode MS"/>
          <w:color w:val="0070C0"/>
        </w:rPr>
        <w:t>dex and discounted payback period</w:t>
      </w:r>
      <w:r w:rsidR="00C6218C">
        <w:rPr>
          <w:rFonts w:ascii="Arial Rounded MT Bold" w:eastAsia="Arial Unicode MS" w:hAnsi="Arial Rounded MT Bold" w:cs="Arial Unicode MS"/>
          <w:color w:val="0070C0"/>
        </w:rPr>
        <w:t xml:space="preserve"> which discount project cash flows in appraising of investment projects</w:t>
      </w:r>
      <w:r w:rsidR="00D40663">
        <w:rPr>
          <w:rFonts w:ascii="Arial Rounded MT Bold" w:eastAsia="Arial Unicode MS" w:hAnsi="Arial Rounded MT Bold" w:cs="Arial Unicode MS"/>
          <w:color w:val="0070C0"/>
        </w:rPr>
        <w:t>.</w:t>
      </w:r>
      <w:r w:rsidR="00C6218C">
        <w:rPr>
          <w:rFonts w:ascii="Arial Rounded MT Bold" w:eastAsia="Arial Unicode MS" w:hAnsi="Arial Rounded MT Bold" w:cs="Arial Unicode MS"/>
          <w:color w:val="0070C0"/>
        </w:rPr>
        <w:t xml:space="preserve"> Discounting cash flows is finding their present value </w:t>
      </w:r>
      <w:r w:rsidR="00C03854">
        <w:rPr>
          <w:rFonts w:ascii="Arial Rounded MT Bold" w:eastAsia="Arial Unicode MS" w:hAnsi="Arial Rounded MT Bold" w:cs="Arial Unicode MS"/>
          <w:color w:val="0070C0"/>
        </w:rPr>
        <w:t>by dividing the cash flow with the discount factor, (1- r)</w:t>
      </w:r>
      <w:r w:rsidR="00C03854" w:rsidRPr="00C03854">
        <w:rPr>
          <w:rFonts w:ascii="Arial Rounded MT Bold" w:eastAsia="Arial Unicode MS" w:hAnsi="Arial Rounded MT Bold" w:cs="Arial Unicode MS"/>
          <w:color w:val="0070C0"/>
          <w:vertAlign w:val="superscript"/>
        </w:rPr>
        <w:t xml:space="preserve"> n</w:t>
      </w:r>
      <w:r w:rsidR="00C03854">
        <w:rPr>
          <w:rFonts w:ascii="Arial Rounded MT Bold" w:eastAsia="Arial Unicode MS" w:hAnsi="Arial Rounded MT Bold" w:cs="Arial Unicode MS"/>
          <w:color w:val="0070C0"/>
          <w:vertAlign w:val="superscript"/>
        </w:rPr>
        <w:t xml:space="preserve"> </w:t>
      </w:r>
      <w:r w:rsidR="00C03854">
        <w:rPr>
          <w:rFonts w:ascii="Arial Rounded MT Bold" w:eastAsia="Arial Unicode MS" w:hAnsi="Arial Rounded MT Bold" w:cs="Arial Unicode MS"/>
          <w:color w:val="0070C0"/>
        </w:rPr>
        <w:t>where r is the rate of interest ie 0.1 if interest rate is 10% and n is the period of the cash flow ie time period 0, 1, 2, …, up to period “n”.</w:t>
      </w:r>
    </w:p>
    <w:p w:rsidR="000A4DD3" w:rsidRPr="000A4DD3" w:rsidRDefault="000A4DD3" w:rsidP="000A4DD3">
      <w:pPr>
        <w:pStyle w:val="ListParagraph"/>
        <w:numPr>
          <w:ilvl w:val="0"/>
          <w:numId w:val="3"/>
        </w:numP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color w:val="0070C0"/>
        </w:rPr>
        <w:t>Non discounted methods</w:t>
      </w:r>
      <w:r w:rsidR="00D40663">
        <w:rPr>
          <w:rFonts w:ascii="Arial Rounded MT Bold" w:eastAsia="Arial Unicode MS" w:hAnsi="Arial Rounded MT Bold" w:cs="Arial Unicode MS"/>
          <w:color w:val="0070C0"/>
        </w:rPr>
        <w:t>. These are techniques which calculate the viabilit</w:t>
      </w:r>
      <w:r w:rsidR="004036D5">
        <w:rPr>
          <w:rFonts w:ascii="Arial Rounded MT Bold" w:eastAsia="Arial Unicode MS" w:hAnsi="Arial Rounded MT Bold" w:cs="Arial Unicode MS"/>
          <w:color w:val="0070C0"/>
        </w:rPr>
        <w:t xml:space="preserve">y of the investment project without </w:t>
      </w:r>
      <w:r w:rsidR="00C6218C">
        <w:rPr>
          <w:rFonts w:ascii="Arial Rounded MT Bold" w:eastAsia="Arial Unicode MS" w:hAnsi="Arial Rounded MT Bold" w:cs="Arial Unicode MS"/>
          <w:color w:val="0070C0"/>
        </w:rPr>
        <w:t>recognizing the effect of increase in cash flows due to existence of an interest rate or discount rate.</w:t>
      </w:r>
      <w:r w:rsidR="009932F8">
        <w:rPr>
          <w:rFonts w:ascii="Arial Rounded MT Bold" w:eastAsia="Arial Unicode MS" w:hAnsi="Arial Rounded MT Bold" w:cs="Arial Unicode MS"/>
          <w:color w:val="0070C0"/>
        </w:rPr>
        <w:t xml:space="preserve"> They include methods like payback period and accounting rate of return.</w:t>
      </w:r>
    </w:p>
    <w:p w:rsidR="000A4DD3" w:rsidRDefault="009932F8" w:rsidP="009932F8">
      <w:pPr>
        <w:jc w:val="cente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b/>
          <w:color w:val="FF0000"/>
          <w:u w:val="single"/>
        </w:rPr>
        <w:t>DECISION CRITERIA</w:t>
      </w:r>
    </w:p>
    <w:p w:rsidR="009932F8" w:rsidRDefault="009932F8" w:rsidP="009932F8">
      <w:pPr>
        <w:rPr>
          <w:rFonts w:ascii="Arial Rounded MT Bold" w:eastAsia="Arial Unicode MS" w:hAnsi="Arial Rounded MT Bold" w:cs="Arial Unicode MS"/>
          <w:b/>
          <w:color w:val="FF0000"/>
          <w:u w:val="single"/>
        </w:rPr>
      </w:pPr>
      <w:r>
        <w:rPr>
          <w:rFonts w:ascii="Arial Rounded MT Bold" w:eastAsia="Arial Unicode MS" w:hAnsi="Arial Rounded MT Bold" w:cs="Arial Unicode MS"/>
          <w:color w:val="0070C0"/>
        </w:rPr>
        <w:t xml:space="preserve">Each investment appraisal techniques applies </w:t>
      </w:r>
      <w:r w:rsidR="00012F5E">
        <w:rPr>
          <w:rFonts w:ascii="Arial Rounded MT Bold" w:eastAsia="Arial Unicode MS" w:hAnsi="Arial Rounded MT Bold" w:cs="Arial Unicode MS"/>
          <w:color w:val="0070C0"/>
        </w:rPr>
        <w:t>a certain decision criterion</w:t>
      </w:r>
      <w:r>
        <w:rPr>
          <w:rFonts w:ascii="Arial Rounded MT Bold" w:eastAsia="Arial Unicode MS" w:hAnsi="Arial Rounded MT Bold" w:cs="Arial Unicode MS"/>
          <w:color w:val="0070C0"/>
        </w:rPr>
        <w:t xml:space="preserve"> to help decide whether a project should be undertaken independently on its own or over other mutually exclusive project. </w:t>
      </w:r>
      <w:r w:rsidR="000B152C">
        <w:rPr>
          <w:rFonts w:ascii="Arial Rounded MT Bold" w:eastAsia="Arial Unicode MS" w:hAnsi="Arial Rounded MT Bold" w:cs="Arial Unicode MS"/>
          <w:color w:val="0070C0"/>
        </w:rPr>
        <w:t xml:space="preserve">For example, in NPV method the project should be undertaken if its total discounted cash flows minus initial investment or its Net present value is positive </w:t>
      </w:r>
      <w:r w:rsidR="000B152C">
        <w:rPr>
          <w:rFonts w:ascii="Arial Rounded MT Bold" w:eastAsia="Arial Unicode MS" w:hAnsi="Arial Rounded MT Bold" w:cs="Arial Unicode MS"/>
          <w:color w:val="0070C0"/>
        </w:rPr>
        <w:lastRenderedPageBreak/>
        <w:t xml:space="preserve">and if it exceeds the NPV of other projects. In </w:t>
      </w:r>
      <w:r w:rsidR="00A41B9F">
        <w:rPr>
          <w:rFonts w:ascii="Arial Rounded MT Bold" w:eastAsia="Arial Unicode MS" w:hAnsi="Arial Rounded MT Bold" w:cs="Arial Unicode MS"/>
          <w:color w:val="0070C0"/>
        </w:rPr>
        <w:t>payback period method the project which pays initial investment fastest is undertaken.</w:t>
      </w:r>
      <w:bookmarkStart w:id="0" w:name="_GoBack"/>
      <w:bookmarkEnd w:id="0"/>
    </w:p>
    <w:sectPr w:rsidR="009932F8"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990BA8"/>
    <w:multiLevelType w:val="hybridMultilevel"/>
    <w:tmpl w:val="7820C5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IN"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2F5E"/>
    <w:rsid w:val="00016092"/>
    <w:rsid w:val="00044E1D"/>
    <w:rsid w:val="00066F50"/>
    <w:rsid w:val="000845B2"/>
    <w:rsid w:val="00092C38"/>
    <w:rsid w:val="000A3E5E"/>
    <w:rsid w:val="000A44F1"/>
    <w:rsid w:val="000A4DD3"/>
    <w:rsid w:val="000B152C"/>
    <w:rsid w:val="000D33EB"/>
    <w:rsid w:val="000F3595"/>
    <w:rsid w:val="00102899"/>
    <w:rsid w:val="0012741D"/>
    <w:rsid w:val="001515B6"/>
    <w:rsid w:val="001539CE"/>
    <w:rsid w:val="00190139"/>
    <w:rsid w:val="00220B4C"/>
    <w:rsid w:val="00223241"/>
    <w:rsid w:val="00255B48"/>
    <w:rsid w:val="002709A9"/>
    <w:rsid w:val="0027553B"/>
    <w:rsid w:val="00286452"/>
    <w:rsid w:val="00294424"/>
    <w:rsid w:val="002A1602"/>
    <w:rsid w:val="0032049E"/>
    <w:rsid w:val="00323832"/>
    <w:rsid w:val="00341841"/>
    <w:rsid w:val="00361ECD"/>
    <w:rsid w:val="00361F98"/>
    <w:rsid w:val="00363A4C"/>
    <w:rsid w:val="003A68D5"/>
    <w:rsid w:val="004036D5"/>
    <w:rsid w:val="00405AC7"/>
    <w:rsid w:val="00420A30"/>
    <w:rsid w:val="004B0842"/>
    <w:rsid w:val="004C0C2F"/>
    <w:rsid w:val="004C476E"/>
    <w:rsid w:val="00507522"/>
    <w:rsid w:val="00510662"/>
    <w:rsid w:val="005148A9"/>
    <w:rsid w:val="005158AC"/>
    <w:rsid w:val="005B087F"/>
    <w:rsid w:val="005C1D0D"/>
    <w:rsid w:val="005C2988"/>
    <w:rsid w:val="005D2B7F"/>
    <w:rsid w:val="0068482E"/>
    <w:rsid w:val="006C6840"/>
    <w:rsid w:val="006D5C88"/>
    <w:rsid w:val="006E5468"/>
    <w:rsid w:val="006F5108"/>
    <w:rsid w:val="007035B6"/>
    <w:rsid w:val="00720FC4"/>
    <w:rsid w:val="0078042D"/>
    <w:rsid w:val="00784191"/>
    <w:rsid w:val="007D788B"/>
    <w:rsid w:val="00803E3E"/>
    <w:rsid w:val="0081426D"/>
    <w:rsid w:val="00820225"/>
    <w:rsid w:val="00843FB1"/>
    <w:rsid w:val="00850C6F"/>
    <w:rsid w:val="00886F79"/>
    <w:rsid w:val="00953815"/>
    <w:rsid w:val="00961E2C"/>
    <w:rsid w:val="0099045A"/>
    <w:rsid w:val="009932F8"/>
    <w:rsid w:val="009B4124"/>
    <w:rsid w:val="009C713C"/>
    <w:rsid w:val="009D1045"/>
    <w:rsid w:val="00A1505A"/>
    <w:rsid w:val="00A22A65"/>
    <w:rsid w:val="00A23429"/>
    <w:rsid w:val="00A41B9F"/>
    <w:rsid w:val="00A57165"/>
    <w:rsid w:val="00A61507"/>
    <w:rsid w:val="00A61768"/>
    <w:rsid w:val="00A67712"/>
    <w:rsid w:val="00AA6EF6"/>
    <w:rsid w:val="00AB5270"/>
    <w:rsid w:val="00AC2E70"/>
    <w:rsid w:val="00AD2B31"/>
    <w:rsid w:val="00AE32F6"/>
    <w:rsid w:val="00AE5AD7"/>
    <w:rsid w:val="00AF16A0"/>
    <w:rsid w:val="00B02251"/>
    <w:rsid w:val="00B44230"/>
    <w:rsid w:val="00B63643"/>
    <w:rsid w:val="00B930F8"/>
    <w:rsid w:val="00BA1E97"/>
    <w:rsid w:val="00BA68D1"/>
    <w:rsid w:val="00BB39A1"/>
    <w:rsid w:val="00BC0668"/>
    <w:rsid w:val="00BD62B6"/>
    <w:rsid w:val="00C03854"/>
    <w:rsid w:val="00C36474"/>
    <w:rsid w:val="00C426D0"/>
    <w:rsid w:val="00C55689"/>
    <w:rsid w:val="00C6218C"/>
    <w:rsid w:val="00C77125"/>
    <w:rsid w:val="00CC07CA"/>
    <w:rsid w:val="00D232B0"/>
    <w:rsid w:val="00D40663"/>
    <w:rsid w:val="00D56BC0"/>
    <w:rsid w:val="00DC6D7E"/>
    <w:rsid w:val="00DD0C69"/>
    <w:rsid w:val="00DF047E"/>
    <w:rsid w:val="00DF0ED9"/>
    <w:rsid w:val="00DF7F02"/>
    <w:rsid w:val="00E160DE"/>
    <w:rsid w:val="00EB6AF4"/>
    <w:rsid w:val="00ED71D7"/>
    <w:rsid w:val="00F07206"/>
    <w:rsid w:val="00F312B9"/>
    <w:rsid w:val="00F71B03"/>
    <w:rsid w:val="00F81711"/>
    <w:rsid w:val="00FB0726"/>
    <w:rsid w:val="00FB703D"/>
    <w:rsid w:val="00FC630E"/>
    <w:rsid w:val="00F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92F4"/>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14</cp:revision>
  <dcterms:created xsi:type="dcterms:W3CDTF">2017-06-08T20:52:00Z</dcterms:created>
  <dcterms:modified xsi:type="dcterms:W3CDTF">2017-06-08T21:28:00Z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-8231797</vt:i4>
  </property>
</Properties>
</file>