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643" w:rsidRPr="005C2988" w:rsidRDefault="00B020FD" w:rsidP="005158AC">
      <w:pPr>
        <w:pStyle w:val="Title"/>
        <w:jc w:val="center"/>
        <w:rPr>
          <w:rFonts w:ascii="Arial Rounded MT Bold" w:eastAsia="Arial Unicode MS" w:hAnsi="Arial Rounded MT Bold" w:cs="Arial Unicode MS"/>
          <w:b/>
          <w:color w:val="FF0000"/>
        </w:rPr>
      </w:pPr>
      <w:r>
        <w:rPr>
          <w:rFonts w:ascii="Arial Rounded MT Bold" w:eastAsia="Arial Unicode MS" w:hAnsi="Arial Rounded MT Bold" w:cs="Arial Unicode MS"/>
          <w:b/>
          <w:color w:val="FF0000"/>
        </w:rPr>
        <w:t>NPV, IRR, SENSITIVITY ANALYSIS</w:t>
      </w:r>
    </w:p>
    <w:p w:rsidR="00AF16A0" w:rsidRDefault="00B020FD" w:rsidP="00DF047E">
      <w:pPr>
        <w:rPr>
          <w:rFonts w:ascii="Arial Rounded MT Bold" w:eastAsia="Arial Unicode MS" w:hAnsi="Arial Rounded MT Bold" w:cs="Arial Unicode MS"/>
          <w:color w:val="0070C0"/>
        </w:rPr>
      </w:pPr>
      <w:r>
        <w:rPr>
          <w:rFonts w:ascii="Arial Rounded MT Bold" w:eastAsia="Arial Unicode MS" w:hAnsi="Arial Rounded MT Bold" w:cs="Arial Unicode MS"/>
          <w:color w:val="0070C0"/>
        </w:rPr>
        <w:t>NPV or net present value is a discounted investment project viability analysis technique. In NPV method the sum of the project cash flows which are adjusted by dividing by the discount factor (1-r)</w:t>
      </w:r>
      <w:r w:rsidRPr="00B020FD">
        <w:rPr>
          <w:rFonts w:ascii="Arial Rounded MT Bold" w:eastAsia="Arial Unicode MS" w:hAnsi="Arial Rounded MT Bold" w:cs="Arial Unicode MS"/>
          <w:color w:val="0070C0"/>
          <w:vertAlign w:val="superscript"/>
        </w:rPr>
        <w:t xml:space="preserve"> n</w:t>
      </w:r>
      <w:r>
        <w:rPr>
          <w:rFonts w:ascii="Arial Rounded MT Bold" w:eastAsia="Arial Unicode MS" w:hAnsi="Arial Rounded MT Bold" w:cs="Arial Unicode MS"/>
          <w:color w:val="0070C0"/>
        </w:rPr>
        <w:t xml:space="preserve">, r being the interest rate </w:t>
      </w:r>
      <w:proofErr w:type="spellStart"/>
      <w:r>
        <w:rPr>
          <w:rFonts w:ascii="Arial Rounded MT Bold" w:eastAsia="Arial Unicode MS" w:hAnsi="Arial Rounded MT Bold" w:cs="Arial Unicode MS"/>
          <w:color w:val="0070C0"/>
        </w:rPr>
        <w:t>ie</w:t>
      </w:r>
      <w:proofErr w:type="spellEnd"/>
      <w:r>
        <w:rPr>
          <w:rFonts w:ascii="Arial Rounded MT Bold" w:eastAsia="Arial Unicode MS" w:hAnsi="Arial Rounded MT Bold" w:cs="Arial Unicode MS"/>
          <w:color w:val="0070C0"/>
        </w:rPr>
        <w:t xml:space="preserve"> 0.2 for 20% and </w:t>
      </w:r>
      <w:proofErr w:type="spellStart"/>
      <w:r>
        <w:rPr>
          <w:rFonts w:ascii="Arial Rounded MT Bold" w:eastAsia="Arial Unicode MS" w:hAnsi="Arial Rounded MT Bold" w:cs="Arial Unicode MS"/>
          <w:color w:val="0070C0"/>
        </w:rPr>
        <w:t>n</w:t>
      </w:r>
      <w:proofErr w:type="spellEnd"/>
      <w:r>
        <w:rPr>
          <w:rFonts w:ascii="Arial Rounded MT Bold" w:eastAsia="Arial Unicode MS" w:hAnsi="Arial Rounded MT Bold" w:cs="Arial Unicode MS"/>
          <w:color w:val="0070C0"/>
        </w:rPr>
        <w:t xml:space="preserve"> the year or period of the cash flow is calculated. The initial investment amount is then deducted from the calculated sum of discounted cash flows to get the net present value of the project. </w:t>
      </w:r>
      <w:proofErr w:type="spellStart"/>
      <w:r>
        <w:rPr>
          <w:rFonts w:ascii="Arial Rounded MT Bold" w:eastAsia="Arial Unicode MS" w:hAnsi="Arial Rounded MT Bold" w:cs="Arial Unicode MS"/>
          <w:color w:val="0070C0"/>
        </w:rPr>
        <w:t>Yhe</w:t>
      </w:r>
      <w:proofErr w:type="spellEnd"/>
      <w:r>
        <w:rPr>
          <w:rFonts w:ascii="Arial Rounded MT Bold" w:eastAsia="Arial Unicode MS" w:hAnsi="Arial Rounded MT Bold" w:cs="Arial Unicode MS"/>
          <w:color w:val="0070C0"/>
        </w:rPr>
        <w:t xml:space="preserve"> project is undertaken if the NPV is positive or if it exceeds that of another mutually exclusive investment project.</w:t>
      </w:r>
    </w:p>
    <w:p w:rsidR="00B020FD" w:rsidRDefault="00AB294E" w:rsidP="00AB294E">
      <w:pPr>
        <w:rPr>
          <w:rFonts w:ascii="Arial Rounded MT Bold" w:eastAsia="Arial Unicode MS" w:hAnsi="Arial Rounded MT Bold" w:cs="Arial Unicode MS"/>
          <w:color w:val="0070C0"/>
        </w:rPr>
      </w:pPr>
      <w:r>
        <w:rPr>
          <w:rFonts w:ascii="Arial Rounded MT Bold" w:eastAsia="Arial Unicode MS" w:hAnsi="Arial Rounded MT Bold" w:cs="Arial Unicode MS"/>
          <w:color w:val="0070C0"/>
        </w:rPr>
        <w:t xml:space="preserve">IRR or the internal rate of return is also a discounted investment project viability analysis technique. In IRR method two NPV are calculated using two rates of interest (make sure one rate of interest yields a positive NPV and the other a negative NPV). The following formula is </w:t>
      </w:r>
      <w:r w:rsidR="00AA6C1D">
        <w:rPr>
          <w:rFonts w:ascii="Arial Rounded MT Bold" w:eastAsia="Arial Unicode MS" w:hAnsi="Arial Rounded MT Bold" w:cs="Arial Unicode MS"/>
          <w:color w:val="0070C0"/>
        </w:rPr>
        <w:t>then applied.</w:t>
      </w:r>
    </w:p>
    <w:p w:rsidR="00AA6C1D" w:rsidRDefault="00AA6C1D" w:rsidP="00AA6C1D">
      <w:pPr>
        <w:spacing w:after="0" w:afterAutospacing="0" w:line="240" w:lineRule="auto"/>
        <w:rPr>
          <w:rFonts w:ascii="Arial Rounded MT Bold" w:eastAsia="Arial Unicode MS" w:hAnsi="Arial Rounded MT Bold" w:cs="Arial Unicode MS"/>
          <w:color w:val="0070C0"/>
          <w:u w:val="single"/>
        </w:rPr>
      </w:pPr>
      <w:r>
        <w:rPr>
          <w:rFonts w:ascii="Arial Rounded MT Bold" w:eastAsia="Arial Unicode MS" w:hAnsi="Arial Rounded MT Bold" w:cs="Arial Unicode MS"/>
          <w:color w:val="0070C0"/>
        </w:rPr>
        <w:t xml:space="preserve">IRR = </w:t>
      </w:r>
      <w:proofErr w:type="spellStart"/>
      <w:r>
        <w:rPr>
          <w:rFonts w:ascii="Arial Rounded MT Bold" w:eastAsia="Arial Unicode MS" w:hAnsi="Arial Rounded MT Bold" w:cs="Arial Unicode MS"/>
          <w:color w:val="0070C0"/>
        </w:rPr>
        <w:t>r</w:t>
      </w:r>
      <w:r w:rsidRPr="00AA6C1D">
        <w:rPr>
          <w:rFonts w:ascii="Arial Rounded MT Bold" w:eastAsia="Arial Unicode MS" w:hAnsi="Arial Rounded MT Bold" w:cs="Arial Unicode MS"/>
          <w:color w:val="0070C0"/>
          <w:vertAlign w:val="subscript"/>
        </w:rPr>
        <w:t>a</w:t>
      </w:r>
      <w:proofErr w:type="spellEnd"/>
      <w:r>
        <w:rPr>
          <w:rFonts w:ascii="Arial Rounded MT Bold" w:eastAsia="Arial Unicode MS" w:hAnsi="Arial Rounded MT Bold" w:cs="Arial Unicode MS"/>
          <w:color w:val="0070C0"/>
          <w:vertAlign w:val="subscript"/>
        </w:rPr>
        <w:t xml:space="preserve"> + </w:t>
      </w:r>
      <w:proofErr w:type="spellStart"/>
      <w:r>
        <w:rPr>
          <w:rFonts w:ascii="Arial Rounded MT Bold" w:eastAsia="Arial Unicode MS" w:hAnsi="Arial Rounded MT Bold" w:cs="Arial Unicode MS"/>
          <w:color w:val="0070C0"/>
          <w:u w:val="single"/>
        </w:rPr>
        <w:t>NPVa</w:t>
      </w:r>
      <w:proofErr w:type="spellEnd"/>
      <w:r>
        <w:rPr>
          <w:rFonts w:ascii="Arial Rounded MT Bold" w:eastAsia="Arial Unicode MS" w:hAnsi="Arial Rounded MT Bold" w:cs="Arial Unicode MS"/>
          <w:color w:val="0070C0"/>
          <w:u w:val="single"/>
        </w:rPr>
        <w:t xml:space="preserve"> (</w:t>
      </w:r>
      <w:proofErr w:type="spellStart"/>
      <w:r>
        <w:rPr>
          <w:rFonts w:ascii="Arial Rounded MT Bold" w:eastAsia="Arial Unicode MS" w:hAnsi="Arial Rounded MT Bold" w:cs="Arial Unicode MS"/>
          <w:color w:val="0070C0"/>
          <w:u w:val="single"/>
        </w:rPr>
        <w:t>r</w:t>
      </w:r>
      <w:r w:rsidRPr="00AA6C1D">
        <w:rPr>
          <w:rFonts w:ascii="Arial Rounded MT Bold" w:eastAsia="Arial Unicode MS" w:hAnsi="Arial Rounded MT Bold" w:cs="Arial Unicode MS"/>
          <w:color w:val="0070C0"/>
          <w:u w:val="single"/>
          <w:vertAlign w:val="subscript"/>
        </w:rPr>
        <w:t>b</w:t>
      </w:r>
      <w:proofErr w:type="spellEnd"/>
      <w:r>
        <w:rPr>
          <w:rFonts w:ascii="Arial Rounded MT Bold" w:eastAsia="Arial Unicode MS" w:hAnsi="Arial Rounded MT Bold" w:cs="Arial Unicode MS"/>
          <w:color w:val="0070C0"/>
          <w:u w:val="single"/>
        </w:rPr>
        <w:t xml:space="preserve"> – </w:t>
      </w:r>
      <w:proofErr w:type="spellStart"/>
      <w:r>
        <w:rPr>
          <w:rFonts w:ascii="Arial Rounded MT Bold" w:eastAsia="Arial Unicode MS" w:hAnsi="Arial Rounded MT Bold" w:cs="Arial Unicode MS"/>
          <w:color w:val="0070C0"/>
          <w:u w:val="single"/>
        </w:rPr>
        <w:t>r</w:t>
      </w:r>
      <w:r w:rsidRPr="00AA6C1D">
        <w:rPr>
          <w:rFonts w:ascii="Arial Rounded MT Bold" w:eastAsia="Arial Unicode MS" w:hAnsi="Arial Rounded MT Bold" w:cs="Arial Unicode MS"/>
          <w:color w:val="0070C0"/>
          <w:u w:val="single"/>
          <w:vertAlign w:val="subscript"/>
        </w:rPr>
        <w:t>a</w:t>
      </w:r>
      <w:proofErr w:type="spellEnd"/>
      <w:r>
        <w:rPr>
          <w:rFonts w:ascii="Arial Rounded MT Bold" w:eastAsia="Arial Unicode MS" w:hAnsi="Arial Rounded MT Bold" w:cs="Arial Unicode MS"/>
          <w:color w:val="0070C0"/>
          <w:u w:val="single"/>
        </w:rPr>
        <w:t>)</w:t>
      </w:r>
    </w:p>
    <w:p w:rsidR="00AA6C1D" w:rsidRDefault="00AA6C1D" w:rsidP="00AA6C1D">
      <w:pPr>
        <w:spacing w:after="0" w:afterAutospacing="0" w:line="240" w:lineRule="auto"/>
        <w:rPr>
          <w:rFonts w:ascii="Arial Rounded MT Bold" w:eastAsia="Arial Unicode MS" w:hAnsi="Arial Rounded MT Bold" w:cs="Arial Unicode MS"/>
          <w:color w:val="0070C0"/>
        </w:rPr>
      </w:pPr>
      <w:r>
        <w:rPr>
          <w:rFonts w:ascii="Arial Rounded MT Bold" w:eastAsia="Arial Unicode MS" w:hAnsi="Arial Rounded MT Bold" w:cs="Arial Unicode MS"/>
          <w:color w:val="0070C0"/>
        </w:rPr>
        <w:tab/>
        <w:t xml:space="preserve">      (</w:t>
      </w:r>
      <w:proofErr w:type="spellStart"/>
      <w:r>
        <w:rPr>
          <w:rFonts w:ascii="Arial Rounded MT Bold" w:eastAsia="Arial Unicode MS" w:hAnsi="Arial Rounded MT Bold" w:cs="Arial Unicode MS"/>
          <w:color w:val="0070C0"/>
        </w:rPr>
        <w:t>NPVa</w:t>
      </w:r>
      <w:proofErr w:type="spellEnd"/>
      <w:r>
        <w:rPr>
          <w:rFonts w:ascii="Arial Rounded MT Bold" w:eastAsia="Arial Unicode MS" w:hAnsi="Arial Rounded MT Bold" w:cs="Arial Unicode MS"/>
          <w:color w:val="0070C0"/>
        </w:rPr>
        <w:t xml:space="preserve"> – </w:t>
      </w:r>
      <w:proofErr w:type="spellStart"/>
      <w:r>
        <w:rPr>
          <w:rFonts w:ascii="Arial Rounded MT Bold" w:eastAsia="Arial Unicode MS" w:hAnsi="Arial Rounded MT Bold" w:cs="Arial Unicode MS"/>
          <w:color w:val="0070C0"/>
        </w:rPr>
        <w:t>NPVb</w:t>
      </w:r>
      <w:proofErr w:type="spellEnd"/>
      <w:r>
        <w:rPr>
          <w:rFonts w:ascii="Arial Rounded MT Bold" w:eastAsia="Arial Unicode MS" w:hAnsi="Arial Rounded MT Bold" w:cs="Arial Unicode MS"/>
          <w:color w:val="0070C0"/>
        </w:rPr>
        <w:t>)</w:t>
      </w:r>
    </w:p>
    <w:p w:rsidR="00AA6C1D" w:rsidRDefault="00AA6C1D" w:rsidP="00AA6C1D">
      <w:pPr>
        <w:spacing w:after="0" w:afterAutospacing="0" w:line="240" w:lineRule="auto"/>
        <w:rPr>
          <w:rFonts w:ascii="Arial Rounded MT Bold" w:eastAsia="Arial Unicode MS" w:hAnsi="Arial Rounded MT Bold" w:cs="Arial Unicode MS"/>
          <w:color w:val="0070C0"/>
        </w:rPr>
      </w:pPr>
    </w:p>
    <w:p w:rsidR="005651EB" w:rsidRPr="005651EB" w:rsidRDefault="00AA6C1D" w:rsidP="005651EB">
      <w:pPr>
        <w:spacing w:after="0" w:afterAutospacing="0" w:line="240" w:lineRule="auto"/>
        <w:rPr>
          <w:rFonts w:ascii="Arial Rounded MT Bold" w:eastAsia="Arial Unicode MS" w:hAnsi="Arial Rounded MT Bold" w:cs="Arial Unicode MS"/>
          <w:color w:val="0070C0"/>
        </w:rPr>
      </w:pPr>
      <w:r>
        <w:rPr>
          <w:rFonts w:ascii="Arial Rounded MT Bold" w:eastAsia="Arial Unicode MS" w:hAnsi="Arial Rounded MT Bold" w:cs="Arial Unicode MS"/>
          <w:color w:val="0070C0"/>
        </w:rPr>
        <w:t>Where;</w:t>
      </w:r>
      <w:r w:rsidR="005651EB" w:rsidRPr="005651EB">
        <w:rPr>
          <w:rFonts w:ascii="Arial Rounded MT Bold" w:eastAsia="Arial Unicode MS" w:hAnsi="Arial Rounded MT Bold" w:cs="Arial Unicode MS"/>
          <w:color w:val="0070C0"/>
        </w:rPr>
        <w:t xml:space="preserve"> </w:t>
      </w:r>
    </w:p>
    <w:p w:rsidR="005651EB" w:rsidRDefault="005651EB" w:rsidP="005651EB">
      <w:pPr>
        <w:spacing w:after="0" w:afterAutospacing="0" w:line="240" w:lineRule="auto"/>
        <w:rPr>
          <w:rFonts w:ascii="Arial Rounded MT Bold" w:eastAsia="Arial Unicode MS" w:hAnsi="Arial Rounded MT Bold" w:cs="Arial Unicode MS"/>
          <w:color w:val="0070C0"/>
        </w:rPr>
      </w:pPr>
      <w:proofErr w:type="spellStart"/>
      <w:r>
        <w:rPr>
          <w:rFonts w:ascii="Arial Rounded MT Bold" w:eastAsia="Arial Unicode MS" w:hAnsi="Arial Rounded MT Bold" w:cs="Arial Unicode MS"/>
          <w:color w:val="0070C0"/>
        </w:rPr>
        <w:t>NPVa</w:t>
      </w:r>
      <w:proofErr w:type="spellEnd"/>
      <w:r>
        <w:rPr>
          <w:rFonts w:ascii="Arial Rounded MT Bold" w:eastAsia="Arial Unicode MS" w:hAnsi="Arial Rounded MT Bold" w:cs="Arial Unicode MS"/>
          <w:color w:val="0070C0"/>
        </w:rPr>
        <w:tab/>
      </w:r>
      <w:r>
        <w:rPr>
          <w:rFonts w:ascii="Arial Rounded MT Bold" w:eastAsia="Arial Unicode MS" w:hAnsi="Arial Rounded MT Bold" w:cs="Arial Unicode MS"/>
          <w:color w:val="0070C0"/>
        </w:rPr>
        <w:tab/>
        <w:t xml:space="preserve">is the NPV using the lower discount rate </w:t>
      </w:r>
    </w:p>
    <w:p w:rsidR="00AA6C1D" w:rsidRDefault="005651EB" w:rsidP="005651EB">
      <w:pPr>
        <w:spacing w:after="0" w:afterAutospacing="0" w:line="240" w:lineRule="auto"/>
        <w:rPr>
          <w:rFonts w:ascii="Arial Rounded MT Bold" w:eastAsia="Arial Unicode MS" w:hAnsi="Arial Rounded MT Bold" w:cs="Arial Unicode MS"/>
          <w:color w:val="0070C0"/>
        </w:rPr>
      </w:pPr>
      <w:proofErr w:type="spellStart"/>
      <w:r>
        <w:rPr>
          <w:rFonts w:ascii="Arial Rounded MT Bold" w:eastAsia="Arial Unicode MS" w:hAnsi="Arial Rounded MT Bold" w:cs="Arial Unicode MS"/>
          <w:color w:val="0070C0"/>
        </w:rPr>
        <w:t>NPVb</w:t>
      </w:r>
      <w:proofErr w:type="spellEnd"/>
      <w:r>
        <w:rPr>
          <w:rFonts w:ascii="Arial Rounded MT Bold" w:eastAsia="Arial Unicode MS" w:hAnsi="Arial Rounded MT Bold" w:cs="Arial Unicode MS"/>
          <w:color w:val="0070C0"/>
        </w:rPr>
        <w:tab/>
      </w:r>
      <w:r>
        <w:rPr>
          <w:rFonts w:ascii="Arial Rounded MT Bold" w:eastAsia="Arial Unicode MS" w:hAnsi="Arial Rounded MT Bold" w:cs="Arial Unicode MS"/>
          <w:color w:val="0070C0"/>
        </w:rPr>
        <w:tab/>
        <w:t>is the NPV using the higher discount rate</w:t>
      </w:r>
    </w:p>
    <w:p w:rsidR="005651EB" w:rsidRDefault="005651EB" w:rsidP="00AA6C1D">
      <w:pPr>
        <w:spacing w:after="0" w:afterAutospacing="0" w:line="240" w:lineRule="auto"/>
        <w:rPr>
          <w:rFonts w:ascii="Arial Rounded MT Bold" w:eastAsia="Arial Unicode MS" w:hAnsi="Arial Rounded MT Bold" w:cs="Arial Unicode MS"/>
          <w:color w:val="0070C0"/>
        </w:rPr>
      </w:pPr>
    </w:p>
    <w:p w:rsidR="00AA6C1D" w:rsidRDefault="00AA6C1D" w:rsidP="00AA6C1D">
      <w:pPr>
        <w:spacing w:after="0" w:afterAutospacing="0" w:line="240" w:lineRule="auto"/>
        <w:rPr>
          <w:rFonts w:ascii="Arial Rounded MT Bold" w:eastAsia="Arial Unicode MS" w:hAnsi="Arial Rounded MT Bold" w:cs="Arial Unicode MS"/>
          <w:color w:val="0070C0"/>
        </w:rPr>
      </w:pPr>
      <w:bookmarkStart w:id="0" w:name="_GoBack"/>
      <w:bookmarkEnd w:id="0"/>
      <w:proofErr w:type="spellStart"/>
      <w:r>
        <w:rPr>
          <w:rFonts w:ascii="Arial Rounded MT Bold" w:eastAsia="Arial Unicode MS" w:hAnsi="Arial Rounded MT Bold" w:cs="Arial Unicode MS"/>
          <w:color w:val="0070C0"/>
        </w:rPr>
        <w:t>r</w:t>
      </w:r>
      <w:r w:rsidRPr="007D28C9">
        <w:rPr>
          <w:rFonts w:ascii="Arial Rounded MT Bold" w:eastAsia="Arial Unicode MS" w:hAnsi="Arial Rounded MT Bold" w:cs="Arial Unicode MS"/>
          <w:color w:val="0070C0"/>
          <w:vertAlign w:val="subscript"/>
        </w:rPr>
        <w:t>a</w:t>
      </w:r>
      <w:proofErr w:type="spellEnd"/>
      <w:r w:rsidR="007D28C9">
        <w:rPr>
          <w:rFonts w:ascii="Arial Rounded MT Bold" w:eastAsia="Arial Unicode MS" w:hAnsi="Arial Rounded MT Bold" w:cs="Arial Unicode MS"/>
          <w:color w:val="0070C0"/>
          <w:vertAlign w:val="subscript"/>
        </w:rPr>
        <w:t xml:space="preserve"> </w:t>
      </w:r>
      <w:r w:rsidR="005651EB">
        <w:rPr>
          <w:rFonts w:ascii="Arial Rounded MT Bold" w:eastAsia="Arial Unicode MS" w:hAnsi="Arial Rounded MT Bold" w:cs="Arial Unicode MS"/>
          <w:color w:val="0070C0"/>
          <w:vertAlign w:val="subscript"/>
        </w:rPr>
        <w:tab/>
      </w:r>
      <w:r w:rsidR="005651EB">
        <w:rPr>
          <w:rFonts w:ascii="Arial Rounded MT Bold" w:eastAsia="Arial Unicode MS" w:hAnsi="Arial Rounded MT Bold" w:cs="Arial Unicode MS"/>
          <w:color w:val="0070C0"/>
          <w:vertAlign w:val="subscript"/>
        </w:rPr>
        <w:tab/>
      </w:r>
      <w:r w:rsidR="007D28C9">
        <w:rPr>
          <w:rFonts w:ascii="Arial Rounded MT Bold" w:eastAsia="Arial Unicode MS" w:hAnsi="Arial Rounded MT Bold" w:cs="Arial Unicode MS"/>
          <w:color w:val="0070C0"/>
        </w:rPr>
        <w:t xml:space="preserve">is the </w:t>
      </w:r>
      <w:r w:rsidR="005651EB">
        <w:rPr>
          <w:rFonts w:ascii="Arial Rounded MT Bold" w:eastAsia="Arial Unicode MS" w:hAnsi="Arial Rounded MT Bold" w:cs="Arial Unicode MS"/>
          <w:color w:val="0070C0"/>
        </w:rPr>
        <w:t>lower discount rate</w:t>
      </w:r>
    </w:p>
    <w:p w:rsidR="005651EB" w:rsidRDefault="005651EB" w:rsidP="00AA6C1D">
      <w:pPr>
        <w:spacing w:after="0" w:afterAutospacing="0" w:line="240" w:lineRule="auto"/>
        <w:rPr>
          <w:rFonts w:ascii="Arial Rounded MT Bold" w:eastAsia="Arial Unicode MS" w:hAnsi="Arial Rounded MT Bold" w:cs="Arial Unicode MS"/>
          <w:color w:val="0070C0"/>
        </w:rPr>
      </w:pPr>
      <w:proofErr w:type="spellStart"/>
      <w:r>
        <w:rPr>
          <w:rFonts w:ascii="Arial Rounded MT Bold" w:eastAsia="Arial Unicode MS" w:hAnsi="Arial Rounded MT Bold" w:cs="Arial Unicode MS"/>
          <w:color w:val="0070C0"/>
        </w:rPr>
        <w:t>r</w:t>
      </w:r>
      <w:r>
        <w:rPr>
          <w:rFonts w:ascii="Arial Rounded MT Bold" w:eastAsia="Arial Unicode MS" w:hAnsi="Arial Rounded MT Bold" w:cs="Arial Unicode MS"/>
          <w:color w:val="0070C0"/>
          <w:vertAlign w:val="subscript"/>
        </w:rPr>
        <w:t>b</w:t>
      </w:r>
      <w:proofErr w:type="spellEnd"/>
      <w:r>
        <w:rPr>
          <w:rFonts w:ascii="Arial Rounded MT Bold" w:eastAsia="Arial Unicode MS" w:hAnsi="Arial Rounded MT Bold" w:cs="Arial Unicode MS"/>
          <w:color w:val="0070C0"/>
          <w:vertAlign w:val="subscript"/>
        </w:rPr>
        <w:tab/>
      </w:r>
      <w:r>
        <w:rPr>
          <w:rFonts w:ascii="Arial Rounded MT Bold" w:eastAsia="Arial Unicode MS" w:hAnsi="Arial Rounded MT Bold" w:cs="Arial Unicode MS"/>
          <w:color w:val="0070C0"/>
          <w:vertAlign w:val="subscript"/>
        </w:rPr>
        <w:tab/>
      </w:r>
      <w:r>
        <w:rPr>
          <w:rFonts w:ascii="Arial Rounded MT Bold" w:eastAsia="Arial Unicode MS" w:hAnsi="Arial Rounded MT Bold" w:cs="Arial Unicode MS"/>
          <w:color w:val="0070C0"/>
        </w:rPr>
        <w:t xml:space="preserve"> is the higher discount rate</w:t>
      </w:r>
    </w:p>
    <w:p w:rsidR="005651EB" w:rsidRDefault="005651EB" w:rsidP="005651EB">
      <w:pPr>
        <w:spacing w:after="0" w:afterAutospacing="0" w:line="240" w:lineRule="auto"/>
        <w:rPr>
          <w:rFonts w:ascii="Arial Rounded MT Bold" w:eastAsia="Arial Unicode MS" w:hAnsi="Arial Rounded MT Bold" w:cs="Arial Unicode MS"/>
          <w:color w:val="0070C0"/>
        </w:rPr>
      </w:pPr>
      <w:r>
        <w:rPr>
          <w:rFonts w:ascii="Arial Rounded MT Bold" w:eastAsia="Arial Unicode MS" w:hAnsi="Arial Rounded MT Bold" w:cs="Arial Unicode MS"/>
          <w:color w:val="0070C0"/>
        </w:rPr>
        <w:t xml:space="preserve"> </w:t>
      </w:r>
    </w:p>
    <w:p w:rsidR="005651EB" w:rsidRDefault="005651EB" w:rsidP="00AA6C1D">
      <w:pPr>
        <w:spacing w:after="0" w:afterAutospacing="0" w:line="240" w:lineRule="auto"/>
        <w:rPr>
          <w:rFonts w:ascii="Arial Rounded MT Bold" w:eastAsia="Arial Unicode MS" w:hAnsi="Arial Rounded MT Bold" w:cs="Arial Unicode MS"/>
          <w:color w:val="0070C0"/>
        </w:rPr>
      </w:pPr>
    </w:p>
    <w:p w:rsidR="00AA6C1D" w:rsidRDefault="00C60EF8" w:rsidP="00B14D6D">
      <w:pPr>
        <w:rPr>
          <w:rFonts w:ascii="Arial Rounded MT Bold" w:eastAsia="Arial Unicode MS" w:hAnsi="Arial Rounded MT Bold" w:cs="Arial Unicode MS"/>
          <w:color w:val="0070C0"/>
        </w:rPr>
      </w:pPr>
      <w:r>
        <w:rPr>
          <w:rFonts w:ascii="Arial Rounded MT Bold" w:eastAsia="Arial Unicode MS" w:hAnsi="Arial Rounded MT Bold" w:cs="Arial Unicode MS"/>
          <w:color w:val="0070C0"/>
        </w:rPr>
        <w:t xml:space="preserve">IRR is the discount rate which yields a zero net present value for an investment project. Accept projects whose </w:t>
      </w:r>
      <w:r w:rsidR="00B14D6D">
        <w:rPr>
          <w:rFonts w:ascii="Arial Rounded MT Bold" w:eastAsia="Arial Unicode MS" w:hAnsi="Arial Rounded MT Bold" w:cs="Arial Unicode MS"/>
          <w:color w:val="0070C0"/>
        </w:rPr>
        <w:t>IRR is greater than the projected IRR or the project having the highest IRR.</w:t>
      </w:r>
    </w:p>
    <w:p w:rsidR="003F300D" w:rsidRDefault="003F300D" w:rsidP="00B14D6D">
      <w:pPr>
        <w:rPr>
          <w:rFonts w:ascii="Arial Rounded MT Bold" w:eastAsia="Arial Unicode MS" w:hAnsi="Arial Rounded MT Bold" w:cs="Arial Unicode MS"/>
          <w:color w:val="0070C0"/>
        </w:rPr>
      </w:pPr>
      <w:r>
        <w:rPr>
          <w:rFonts w:ascii="Arial Rounded MT Bold" w:eastAsia="Arial Unicode MS" w:hAnsi="Arial Rounded MT Bold" w:cs="Arial Unicode MS"/>
          <w:color w:val="0070C0"/>
        </w:rPr>
        <w:t xml:space="preserve">Sensitivity analysis </w:t>
      </w:r>
      <w:r w:rsidR="007937CC">
        <w:rPr>
          <w:rFonts w:ascii="Arial Rounded MT Bold" w:eastAsia="Arial Unicode MS" w:hAnsi="Arial Rounded MT Bold" w:cs="Arial Unicode MS"/>
          <w:color w:val="0070C0"/>
        </w:rPr>
        <w:t>examines uncertainty of a model and how uncertainty in the output dependent variables in a model can be matched against uncertainty in the models input independent variables.</w:t>
      </w:r>
      <w:r w:rsidR="001062A9">
        <w:rPr>
          <w:rFonts w:ascii="Arial Rounded MT Bold" w:eastAsia="Arial Unicode MS" w:hAnsi="Arial Rounded MT Bold" w:cs="Arial Unicode MS"/>
          <w:color w:val="0070C0"/>
        </w:rPr>
        <w:t xml:space="preserve"> </w:t>
      </w:r>
      <w:r w:rsidR="00D81971">
        <w:rPr>
          <w:rFonts w:ascii="Arial Rounded MT Bold" w:eastAsia="Arial Unicode MS" w:hAnsi="Arial Rounded MT Bold" w:cs="Arial Unicode MS"/>
          <w:color w:val="0070C0"/>
        </w:rPr>
        <w:t>It is done using Monte Carlo techniques for global sensitivity analysis and derivatives based on numerical analysis</w:t>
      </w:r>
      <w:r w:rsidR="000C09F8">
        <w:rPr>
          <w:rFonts w:ascii="Arial Rounded MT Bold" w:eastAsia="Arial Unicode MS" w:hAnsi="Arial Rounded MT Bold" w:cs="Arial Unicode MS"/>
          <w:color w:val="0070C0"/>
        </w:rPr>
        <w:t xml:space="preserve"> in local sensitivity analysis and excel management tools. Sensitivity analysis helps in decision making by understanding the effects of possible variability in the inputs to a model on the expected outputs.</w:t>
      </w:r>
    </w:p>
    <w:sectPr w:rsidR="003F300D" w:rsidSect="00B63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772E4"/>
    <w:multiLevelType w:val="hybridMultilevel"/>
    <w:tmpl w:val="782CCE1E"/>
    <w:lvl w:ilvl="0" w:tplc="D73EF54E">
      <w:start w:val="1"/>
      <w:numFmt w:val="decimal"/>
      <w:lvlText w:val="%1."/>
      <w:lvlJc w:val="left"/>
      <w:pPr>
        <w:ind w:left="360" w:hanging="360"/>
      </w:pPr>
      <w:rPr>
        <w:color w:val="4F81BD" w:themeColor="accen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20E36BC"/>
    <w:multiLevelType w:val="hybridMultilevel"/>
    <w:tmpl w:val="6A06C84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E990BA8"/>
    <w:multiLevelType w:val="hybridMultilevel"/>
    <w:tmpl w:val="7820C55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IN"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8AC"/>
    <w:rsid w:val="00012F5E"/>
    <w:rsid w:val="00016092"/>
    <w:rsid w:val="0003776E"/>
    <w:rsid w:val="00044E1D"/>
    <w:rsid w:val="00066F50"/>
    <w:rsid w:val="000845B2"/>
    <w:rsid w:val="00092C38"/>
    <w:rsid w:val="000A11F5"/>
    <w:rsid w:val="000A3E5E"/>
    <w:rsid w:val="000A44F1"/>
    <w:rsid w:val="000A4DD3"/>
    <w:rsid w:val="000B152C"/>
    <w:rsid w:val="000C09F8"/>
    <w:rsid w:val="000D33EB"/>
    <w:rsid w:val="000F3595"/>
    <w:rsid w:val="00102899"/>
    <w:rsid w:val="001062A9"/>
    <w:rsid w:val="0012741D"/>
    <w:rsid w:val="001515B6"/>
    <w:rsid w:val="001539CE"/>
    <w:rsid w:val="00190139"/>
    <w:rsid w:val="001A6056"/>
    <w:rsid w:val="00220B4C"/>
    <w:rsid w:val="00223241"/>
    <w:rsid w:val="00255B48"/>
    <w:rsid w:val="002709A9"/>
    <w:rsid w:val="0027553B"/>
    <w:rsid w:val="00286452"/>
    <w:rsid w:val="00294424"/>
    <w:rsid w:val="002A1602"/>
    <w:rsid w:val="0032049E"/>
    <w:rsid w:val="00323832"/>
    <w:rsid w:val="00341841"/>
    <w:rsid w:val="00361ECD"/>
    <w:rsid w:val="00361F98"/>
    <w:rsid w:val="00363A4C"/>
    <w:rsid w:val="003A68D5"/>
    <w:rsid w:val="003F300D"/>
    <w:rsid w:val="004036D5"/>
    <w:rsid w:val="00405AC7"/>
    <w:rsid w:val="00420A30"/>
    <w:rsid w:val="004B0842"/>
    <w:rsid w:val="004C0C2F"/>
    <w:rsid w:val="004C476E"/>
    <w:rsid w:val="004F5266"/>
    <w:rsid w:val="00507522"/>
    <w:rsid w:val="00510662"/>
    <w:rsid w:val="005148A9"/>
    <w:rsid w:val="005158AC"/>
    <w:rsid w:val="005651EB"/>
    <w:rsid w:val="005B087F"/>
    <w:rsid w:val="005C1D0D"/>
    <w:rsid w:val="005C2988"/>
    <w:rsid w:val="005D2B7F"/>
    <w:rsid w:val="005E0C21"/>
    <w:rsid w:val="0068482E"/>
    <w:rsid w:val="006C1889"/>
    <w:rsid w:val="006C6840"/>
    <w:rsid w:val="006D5C88"/>
    <w:rsid w:val="006E5468"/>
    <w:rsid w:val="006F5108"/>
    <w:rsid w:val="007035B6"/>
    <w:rsid w:val="00704078"/>
    <w:rsid w:val="00720FC4"/>
    <w:rsid w:val="0078042D"/>
    <w:rsid w:val="00784191"/>
    <w:rsid w:val="007937CC"/>
    <w:rsid w:val="007D28C9"/>
    <w:rsid w:val="007D788B"/>
    <w:rsid w:val="00803E3E"/>
    <w:rsid w:val="0081426D"/>
    <w:rsid w:val="00820225"/>
    <w:rsid w:val="00843FB1"/>
    <w:rsid w:val="00850C6F"/>
    <w:rsid w:val="008570CA"/>
    <w:rsid w:val="00886F79"/>
    <w:rsid w:val="00953815"/>
    <w:rsid w:val="00961E2C"/>
    <w:rsid w:val="0099045A"/>
    <w:rsid w:val="009932F8"/>
    <w:rsid w:val="009A7992"/>
    <w:rsid w:val="009B31EC"/>
    <w:rsid w:val="009B4124"/>
    <w:rsid w:val="009C713C"/>
    <w:rsid w:val="009D1045"/>
    <w:rsid w:val="00A1505A"/>
    <w:rsid w:val="00A22A65"/>
    <w:rsid w:val="00A23429"/>
    <w:rsid w:val="00A41B9F"/>
    <w:rsid w:val="00A57165"/>
    <w:rsid w:val="00A61507"/>
    <w:rsid w:val="00A61768"/>
    <w:rsid w:val="00A67712"/>
    <w:rsid w:val="00AA6C1D"/>
    <w:rsid w:val="00AA6EF6"/>
    <w:rsid w:val="00AB294E"/>
    <w:rsid w:val="00AB5270"/>
    <w:rsid w:val="00AC2E70"/>
    <w:rsid w:val="00AD02A0"/>
    <w:rsid w:val="00AD2384"/>
    <w:rsid w:val="00AD2B31"/>
    <w:rsid w:val="00AE32F6"/>
    <w:rsid w:val="00AE5AD7"/>
    <w:rsid w:val="00AF16A0"/>
    <w:rsid w:val="00B020FD"/>
    <w:rsid w:val="00B02251"/>
    <w:rsid w:val="00B14D6D"/>
    <w:rsid w:val="00B44230"/>
    <w:rsid w:val="00B63643"/>
    <w:rsid w:val="00B74891"/>
    <w:rsid w:val="00B87ED2"/>
    <w:rsid w:val="00B930F8"/>
    <w:rsid w:val="00BA1E97"/>
    <w:rsid w:val="00BA68D1"/>
    <w:rsid w:val="00BB39A1"/>
    <w:rsid w:val="00BC0668"/>
    <w:rsid w:val="00BD62B6"/>
    <w:rsid w:val="00BD684A"/>
    <w:rsid w:val="00C03854"/>
    <w:rsid w:val="00C36474"/>
    <w:rsid w:val="00C426D0"/>
    <w:rsid w:val="00C42E68"/>
    <w:rsid w:val="00C55689"/>
    <w:rsid w:val="00C60EF8"/>
    <w:rsid w:val="00C6218C"/>
    <w:rsid w:val="00C77125"/>
    <w:rsid w:val="00CB33DB"/>
    <w:rsid w:val="00CC07CA"/>
    <w:rsid w:val="00D04F23"/>
    <w:rsid w:val="00D232B0"/>
    <w:rsid w:val="00D40663"/>
    <w:rsid w:val="00D56BC0"/>
    <w:rsid w:val="00D81971"/>
    <w:rsid w:val="00DC6D7E"/>
    <w:rsid w:val="00DD0C69"/>
    <w:rsid w:val="00DF047E"/>
    <w:rsid w:val="00DF0ED9"/>
    <w:rsid w:val="00DF7F02"/>
    <w:rsid w:val="00E160DE"/>
    <w:rsid w:val="00E715C8"/>
    <w:rsid w:val="00EB6AF4"/>
    <w:rsid w:val="00ED71D7"/>
    <w:rsid w:val="00F07206"/>
    <w:rsid w:val="00F27B65"/>
    <w:rsid w:val="00F30E2E"/>
    <w:rsid w:val="00F312B9"/>
    <w:rsid w:val="00F71B03"/>
    <w:rsid w:val="00F81711"/>
    <w:rsid w:val="00FB0726"/>
    <w:rsid w:val="00FB703D"/>
    <w:rsid w:val="00FC630E"/>
    <w:rsid w:val="00FD0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F7EC6"/>
  <w15:docId w15:val="{21AAC9CB-5F8D-4836-8D3A-A5F782BAB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00" w:afterAutospacing="1"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9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58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58A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55B48"/>
    <w:pPr>
      <w:ind w:left="720"/>
      <w:contextualSpacing/>
    </w:pPr>
  </w:style>
  <w:style w:type="table" w:styleId="TableGrid">
    <w:name w:val="Table Grid"/>
    <w:basedOn w:val="TableNormal"/>
    <w:uiPriority w:val="59"/>
    <w:rsid w:val="00B74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SR-3</dc:creator>
  <cp:lastModifiedBy>Ashington Waweru</cp:lastModifiedBy>
  <cp:revision>11</cp:revision>
  <dcterms:created xsi:type="dcterms:W3CDTF">2017-06-08T22:42:00Z</dcterms:created>
  <dcterms:modified xsi:type="dcterms:W3CDTF">2017-06-08T23:43:00Z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-8231797</vt:i4>
  </property>
</Properties>
</file>