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4C4" w:rsidRPr="00C33F03" w:rsidRDefault="00EA6FA1" w:rsidP="00C33F03">
      <w:pPr>
        <w:spacing w:after="0" w:line="240" w:lineRule="auto"/>
        <w:ind w:firstLine="0"/>
        <w:jc w:val="right"/>
        <w:rPr>
          <w:rStyle w:val="a4"/>
          <w:rFonts w:ascii="Times New Roman" w:hAnsi="Times New Roman" w:cs="Times New Roman"/>
          <w:b w:val="0"/>
        </w:rPr>
      </w:pPr>
      <w:r w:rsidRPr="00C33F03">
        <w:rPr>
          <w:rStyle w:val="a4"/>
          <w:rFonts w:ascii="Times New Roman" w:hAnsi="Times New Roman" w:cs="Times New Roman"/>
          <w:b w:val="0"/>
        </w:rPr>
        <w:t>Приложение 2</w:t>
      </w:r>
    </w:p>
    <w:p w:rsidR="00C33F03" w:rsidRPr="00C33F03" w:rsidRDefault="00C33F03" w:rsidP="00C33F03">
      <w:pPr>
        <w:spacing w:after="0" w:line="240" w:lineRule="auto"/>
        <w:ind w:firstLine="0"/>
        <w:jc w:val="right"/>
        <w:rPr>
          <w:rStyle w:val="a4"/>
          <w:rFonts w:ascii="Times New Roman" w:hAnsi="Times New Roman" w:cs="Times New Roman"/>
          <w:b w:val="0"/>
        </w:rPr>
      </w:pPr>
      <w:r w:rsidRPr="00C33F03">
        <w:rPr>
          <w:rStyle w:val="a4"/>
          <w:rFonts w:ascii="Times New Roman" w:hAnsi="Times New Roman" w:cs="Times New Roman"/>
          <w:b w:val="0"/>
        </w:rPr>
        <w:t>к Типовой инструкции</w:t>
      </w:r>
    </w:p>
    <w:p w:rsidR="00C33F03" w:rsidRDefault="00C33F03" w:rsidP="0055791A">
      <w:pPr>
        <w:ind w:firstLine="0"/>
        <w:rPr>
          <w:rStyle w:val="a4"/>
        </w:rPr>
      </w:pPr>
    </w:p>
    <w:p w:rsidR="0055791A" w:rsidRDefault="0055791A" w:rsidP="0055791A">
      <w:pPr>
        <w:ind w:firstLine="0"/>
        <w:rPr>
          <w:rStyle w:val="a4"/>
        </w:rPr>
      </w:pPr>
      <w:bookmarkStart w:id="0" w:name="_GoBack"/>
      <w:bookmarkEnd w:id="0"/>
    </w:p>
    <w:p w:rsidR="004074C4" w:rsidRDefault="00EA6FA1" w:rsidP="00041D42">
      <w:pPr>
        <w:jc w:val="center"/>
        <w:rPr>
          <w:rStyle w:val="a4"/>
          <w:i/>
        </w:rPr>
      </w:pPr>
      <w:r>
        <w:rPr>
          <w:rStyle w:val="a4"/>
        </w:rPr>
        <w:t xml:space="preserve">РУКОВОДСТВО ДЛЯ </w:t>
      </w:r>
      <w:r w:rsidR="00041D42">
        <w:rPr>
          <w:rStyle w:val="a4"/>
        </w:rPr>
        <w:t>ЗАПОЛНЕНИЯ ФОРМЫ «</w:t>
      </w:r>
      <w:r w:rsidRPr="00EA6FA1">
        <w:rPr>
          <w:rStyle w:val="a4"/>
        </w:rPr>
        <w:t xml:space="preserve">РАСЧЕТ БАЛАНСА ЭЛЕКТРОЭНЕРГИИ ПО ЭЛЕМЕНТАМ СЕТИ 0,4-20 </w:t>
      </w:r>
      <w:r w:rsidR="0048487B">
        <w:rPr>
          <w:rStyle w:val="a4"/>
        </w:rPr>
        <w:t>кВ</w:t>
      </w:r>
      <w:r w:rsidR="00041D42">
        <w:rPr>
          <w:rStyle w:val="a4"/>
        </w:rPr>
        <w:t>»</w:t>
      </w:r>
    </w:p>
    <w:p w:rsidR="00410100" w:rsidRPr="00410100" w:rsidRDefault="00410100" w:rsidP="00410100">
      <w:r w:rsidRPr="00410100">
        <w:t>При отсутствии технического учета, фиксирующего отпуск электроэнергии в ЛЭП 0.4-20 кВ РЭС, показатели баланса по уровням напряжения определяются расчетным способом, по следующему алгоритму.</w:t>
      </w:r>
    </w:p>
    <w:p w:rsidR="00410100" w:rsidRPr="00410100" w:rsidRDefault="00410100" w:rsidP="00410100">
      <w:pPr>
        <w:pStyle w:val="1"/>
        <w:ind w:firstLine="567"/>
      </w:pPr>
      <w:r w:rsidRPr="00410100">
        <w:t>Ежемесячно 1-го числа месяца, следующего за отчетным, по данным технического учета на отходящих линиях 1-20 кВ определяется прием, отдача и отпуск в сеть с разбивкой по каждой линии;</w:t>
      </w:r>
    </w:p>
    <w:p w:rsidR="00410100" w:rsidRDefault="00410100" w:rsidP="00410100">
      <w:pPr>
        <w:pStyle w:val="1"/>
        <w:ind w:firstLine="567"/>
      </w:pPr>
      <w:r>
        <w:t>Персонал РЭС на основании данных диспетчера РЭС определяет режим работы линий 1-20 кВ на наличие переключений между линиями (кольцевые схемы) и указывает дату и время переключений в столбце «примечание», при этом привязку потребителей в программном комплексе к центрам питаниям необходимо оставлять в соответствии с нормальным режимом;</w:t>
      </w:r>
    </w:p>
    <w:p w:rsidR="00410100" w:rsidRDefault="00410100" w:rsidP="00410100">
      <w:pPr>
        <w:pStyle w:val="1"/>
        <w:ind w:firstLine="567"/>
      </w:pPr>
      <w:r>
        <w:t>ЛЭП 1-20 кВ, между которыми в течение месяца были переключения, группируются в отельные группы, для каждой группы формируется консолидированный баланс электроэнергии;</w:t>
      </w:r>
    </w:p>
    <w:p w:rsidR="00410100" w:rsidRDefault="00410100" w:rsidP="00410100">
      <w:pPr>
        <w:pStyle w:val="1"/>
        <w:ind w:firstLine="567"/>
      </w:pPr>
      <w:r>
        <w:t>При наличии поступления в сеть 0,4 кВ из уровней напряжения 35 кВ и выше и/или от объектов генерации баланс по таким линиям 0,4 кВ строится отдельно, а при наличии кольцевых схем - включается в баланс линии (группы линий) 1-20 кВ.</w:t>
      </w:r>
    </w:p>
    <w:p w:rsidR="00410100" w:rsidRDefault="00410100" w:rsidP="00410100">
      <w:pPr>
        <w:pStyle w:val="1"/>
        <w:ind w:firstLine="567"/>
      </w:pPr>
      <w:r>
        <w:t>Определяется объем нормативных потерь электроэнергии в линии (группе линий) 1-20 кВ (</w:t>
      </w:r>
      <w:r>
        <w:object w:dxaOrig="840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95pt;height:18.8pt" o:ole="">
            <v:imagedata r:id="rId7" o:title=""/>
          </v:shape>
          <o:OLEObject Type="Embed" ProgID="Equation.3" ShapeID="_x0000_i1025" DrawAspect="Content" ObjectID="_1788091258" r:id="rId8"/>
        </w:object>
      </w:r>
      <w:r>
        <w:t>) исходя из объема принятой электроэнергии в линию (группу линий) 1-20 кВ (</w:t>
      </w:r>
      <w:r>
        <w:object w:dxaOrig="705" w:dyaOrig="375">
          <v:shape id="_x0000_i1026" type="#_x0000_t75" style="width:35.05pt;height:18.8pt" o:ole="">
            <v:imagedata r:id="rId9" o:title=""/>
          </v:shape>
          <o:OLEObject Type="Embed" ProgID="Equation.3" ShapeID="_x0000_i1026" DrawAspect="Content" ObjectID="_1788091259" r:id="rId10"/>
        </w:object>
      </w:r>
      <w:r>
        <w:t>), (уровень нормативных потерь принимается равным 6%):</w:t>
      </w:r>
    </w:p>
    <w:tbl>
      <w:tblPr>
        <w:tblStyle w:val="6"/>
        <w:tblW w:w="4978" w:type="pct"/>
        <w:tblInd w:w="-5" w:type="dxa"/>
        <w:tblLook w:val="04A0" w:firstRow="1" w:lastRow="0" w:firstColumn="1" w:lastColumn="0" w:noHBand="0" w:noVBand="1"/>
      </w:tblPr>
      <w:tblGrid>
        <w:gridCol w:w="8856"/>
        <w:gridCol w:w="673"/>
      </w:tblGrid>
      <w:tr w:rsidR="00410100" w:rsidTr="00EA6FA1">
        <w:trPr>
          <w:trHeight w:val="692"/>
        </w:trPr>
        <w:tc>
          <w:tcPr>
            <w:tcW w:w="4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Default="00410100" w:rsidP="00410100">
            <w:pPr>
              <w:rPr>
                <w:lang w:eastAsia="ru-RU"/>
              </w:rPr>
            </w:pPr>
            <w:r>
              <w:rPr>
                <w:rFonts w:asciiTheme="minorHAnsi" w:eastAsia="Calibri" w:hAnsiTheme="minorHAnsi" w:cstheme="minorBidi"/>
                <w:position w:val="-24"/>
                <w:sz w:val="22"/>
                <w:szCs w:val="22"/>
              </w:rPr>
              <w:object w:dxaOrig="2280" w:dyaOrig="375">
                <v:shape id="_x0000_i1027" type="#_x0000_t75" style="width:113.95pt;height:18.8pt" o:ole="">
                  <v:imagedata r:id="rId11" o:title=""/>
                </v:shape>
                <o:OLEObject Type="Embed" ProgID="Equation.3" ShapeID="_x0000_i1027" DrawAspect="Content" ObjectID="_1788091260" r:id="rId12"/>
              </w:objec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Pr="00410100" w:rsidRDefault="00410100" w:rsidP="00410100">
            <w:pPr>
              <w:ind w:hanging="79"/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410100">
              <w:rPr>
                <w:rFonts w:asciiTheme="minorHAnsi" w:hAnsiTheme="minorHAnsi"/>
                <w:sz w:val="22"/>
                <w:szCs w:val="22"/>
                <w:lang w:eastAsia="ru-RU"/>
              </w:rPr>
              <w:t>(1)</w:t>
            </w:r>
          </w:p>
        </w:tc>
      </w:tr>
    </w:tbl>
    <w:p w:rsidR="00410100" w:rsidRDefault="00410100" w:rsidP="00410100">
      <w:pPr>
        <w:pStyle w:val="1"/>
        <w:ind w:firstLine="567"/>
      </w:pPr>
      <w:r>
        <w:t>Трансформация из линии 1-20 кВ в сеть 0,4 кВ (</w:t>
      </w:r>
      <w:r>
        <w:object w:dxaOrig="1005" w:dyaOrig="420">
          <v:shape id="_x0000_i1028" type="#_x0000_t75" style="width:50.1pt;height:20.65pt" o:ole="">
            <v:imagedata r:id="rId13" o:title=""/>
          </v:shape>
          <o:OLEObject Type="Embed" ProgID="Equation.3" ShapeID="_x0000_i1028" DrawAspect="Content" ObjectID="_1788091261" r:id="rId14"/>
        </w:object>
      </w:r>
      <w:r>
        <w:t>) определяется, как разница отпуска в сеть линии 1-20 кВ (</w:t>
      </w:r>
      <w:r>
        <w:object w:dxaOrig="525" w:dyaOrig="375">
          <v:shape id="_x0000_i1029" type="#_x0000_t75" style="width:26.3pt;height:18.8pt" o:ole="">
            <v:imagedata r:id="rId15" o:title=""/>
          </v:shape>
          <o:OLEObject Type="Embed" ProgID="Equation.3" ShapeID="_x0000_i1029" DrawAspect="Content" ObjectID="_1788091262" r:id="rId16"/>
        </w:object>
      </w:r>
      <w:r>
        <w:t>) за вычетом суммы полезного отпуска в сети 1-20 кВ (</w:t>
      </w:r>
      <w:r>
        <w:object w:dxaOrig="705" w:dyaOrig="375">
          <v:shape id="_x0000_i1030" type="#_x0000_t75" style="width:35.05pt;height:18.8pt" o:ole="">
            <v:imagedata r:id="rId17" o:title=""/>
          </v:shape>
          <o:OLEObject Type="Embed" ProgID="Equation.3" ShapeID="_x0000_i1030" DrawAspect="Content" ObjectID="_1788091263" r:id="rId18"/>
        </w:object>
      </w:r>
      <w:r>
        <w:t>) и нормативных потерь линии 1-20 кВ (</w:t>
      </w:r>
      <w:r>
        <w:object w:dxaOrig="840" w:dyaOrig="375">
          <v:shape id="_x0000_i1031" type="#_x0000_t75" style="width:41.95pt;height:18.8pt" o:ole="">
            <v:imagedata r:id="rId19" o:title=""/>
          </v:shape>
          <o:OLEObject Type="Embed" ProgID="Equation.3" ShapeID="_x0000_i1031" DrawAspect="Content" ObjectID="_1788091264" r:id="rId20"/>
        </w:object>
      </w:r>
      <w:r>
        <w:t>).</w:t>
      </w:r>
    </w:p>
    <w:tbl>
      <w:tblPr>
        <w:tblStyle w:val="6"/>
        <w:tblW w:w="4978" w:type="pct"/>
        <w:tblInd w:w="-5" w:type="dxa"/>
        <w:tblLook w:val="04A0" w:firstRow="1" w:lastRow="0" w:firstColumn="1" w:lastColumn="0" w:noHBand="0" w:noVBand="1"/>
      </w:tblPr>
      <w:tblGrid>
        <w:gridCol w:w="8856"/>
        <w:gridCol w:w="673"/>
      </w:tblGrid>
      <w:tr w:rsidR="00410100" w:rsidTr="00EA6FA1">
        <w:trPr>
          <w:trHeight w:val="611"/>
        </w:trPr>
        <w:tc>
          <w:tcPr>
            <w:tcW w:w="4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Default="00410100" w:rsidP="00EA6FA1">
            <w:pPr>
              <w:ind w:firstLine="601"/>
              <w:rPr>
                <w:lang w:eastAsia="ru-RU"/>
              </w:rPr>
            </w:pPr>
            <w:r>
              <w:rPr>
                <w:rFonts w:asciiTheme="minorHAnsi" w:eastAsia="Calibri" w:hAnsiTheme="minorHAnsi" w:cstheme="minorBidi"/>
                <w:sz w:val="22"/>
                <w:szCs w:val="22"/>
              </w:rPr>
              <w:object w:dxaOrig="3750" w:dyaOrig="420">
                <v:shape id="_x0000_i1032" type="#_x0000_t75" style="width:187.85pt;height:20.65pt" o:ole="">
                  <v:imagedata r:id="rId21" o:title=""/>
                </v:shape>
                <o:OLEObject Type="Embed" ProgID="Equation.3" ShapeID="_x0000_i1032" DrawAspect="Content" ObjectID="_1788091265" r:id="rId22"/>
              </w:objec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Pr="00410100" w:rsidRDefault="00410100" w:rsidP="00410100">
            <w:pPr>
              <w:ind w:hanging="79"/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410100">
              <w:rPr>
                <w:rFonts w:asciiTheme="minorHAnsi" w:hAnsiTheme="minorHAnsi"/>
                <w:sz w:val="22"/>
                <w:szCs w:val="22"/>
                <w:lang w:eastAsia="ru-RU"/>
              </w:rPr>
              <w:t>(2)</w:t>
            </w:r>
          </w:p>
        </w:tc>
      </w:tr>
    </w:tbl>
    <w:p w:rsidR="00410100" w:rsidRDefault="00410100" w:rsidP="00410100">
      <w:pPr>
        <w:pStyle w:val="1"/>
        <w:ind w:firstLine="567"/>
      </w:pPr>
      <w:r>
        <w:t>Уровень потерь по ТП (</w:t>
      </w:r>
      <w:r>
        <w:object w:dxaOrig="600" w:dyaOrig="345">
          <v:shape id="_x0000_i1033" type="#_x0000_t75" style="width:30.05pt;height:17.55pt" o:ole="">
            <v:imagedata r:id="rId23" o:title=""/>
          </v:shape>
          <o:OLEObject Type="Embed" ProgID="Equation.3" ShapeID="_x0000_i1033" DrawAspect="Content" ObjectID="_1788091266" r:id="rId24"/>
        </w:object>
      </w:r>
      <w:r>
        <w:t>) и линиям 0,4 кВ (</w:t>
      </w:r>
      <w:r>
        <w:object w:dxaOrig="825" w:dyaOrig="420">
          <v:shape id="_x0000_i1034" type="#_x0000_t75" style="width:41.3pt;height:20.65pt" o:ole="">
            <v:imagedata r:id="rId25" o:title=""/>
          </v:shape>
          <o:OLEObject Type="Embed" ProgID="Equation.3" ShapeID="_x0000_i1034" DrawAspect="Content" ObjectID="_1788091267" r:id="rId26"/>
        </w:object>
      </w:r>
      <w:r>
        <w:t>) оборудованные учетом рассчитывается как разница отпуска в сеть (</w:t>
      </w:r>
      <w:r>
        <w:object w:dxaOrig="525" w:dyaOrig="360">
          <v:shape id="_x0000_i1035" type="#_x0000_t75" style="width:26.3pt;height:18.15pt" o:ole="">
            <v:imagedata r:id="rId27" o:title=""/>
          </v:shape>
          <o:OLEObject Type="Embed" ProgID="Equation.3" ShapeID="_x0000_i1035" DrawAspect="Content" ObjectID="_1788091268" r:id="rId28"/>
        </w:object>
      </w:r>
      <w:r>
        <w:t>;</w:t>
      </w:r>
      <w:r>
        <w:object w:dxaOrig="975" w:dyaOrig="420">
          <v:shape id="_x0000_i1036" type="#_x0000_t75" style="width:48.85pt;height:20.65pt" o:ole="">
            <v:imagedata r:id="rId29" o:title=""/>
          </v:shape>
          <o:OLEObject Type="Embed" ProgID="Equation.3" ShapeID="_x0000_i1036" DrawAspect="Content" ObjectID="_1788091269" r:id="rId30"/>
        </w:object>
      </w:r>
      <w:r>
        <w:t>) и полезного отпуска по ТП (</w:t>
      </w:r>
      <w:r>
        <w:object w:dxaOrig="705" w:dyaOrig="360">
          <v:shape id="_x0000_i1037" type="#_x0000_t75" style="width:35.05pt;height:18.15pt" o:ole="">
            <v:imagedata r:id="rId31" o:title=""/>
          </v:shape>
          <o:OLEObject Type="Embed" ProgID="Equation.3" ShapeID="_x0000_i1037" DrawAspect="Content" ObjectID="_1788091270" r:id="rId32"/>
        </w:object>
      </w:r>
      <w:r>
        <w:t>) или линии 0,4 кВ (</w:t>
      </w:r>
      <w:r>
        <w:object w:dxaOrig="1170" w:dyaOrig="420">
          <v:shape id="_x0000_i1038" type="#_x0000_t75" style="width:58.85pt;height:20.65pt" o:ole="">
            <v:imagedata r:id="rId33" o:title=""/>
          </v:shape>
          <o:OLEObject Type="Embed" ProgID="Equation.3" ShapeID="_x0000_i1038" DrawAspect="Content" ObjectID="_1788091271" r:id="rId34"/>
        </w:object>
      </w:r>
      <w:r>
        <w:t>).</w:t>
      </w:r>
    </w:p>
    <w:tbl>
      <w:tblPr>
        <w:tblStyle w:val="6"/>
        <w:tblW w:w="4978" w:type="pct"/>
        <w:tblInd w:w="-5" w:type="dxa"/>
        <w:tblLook w:val="04A0" w:firstRow="1" w:lastRow="0" w:firstColumn="1" w:lastColumn="0" w:noHBand="0" w:noVBand="1"/>
      </w:tblPr>
      <w:tblGrid>
        <w:gridCol w:w="8856"/>
        <w:gridCol w:w="673"/>
      </w:tblGrid>
      <w:tr w:rsidR="00410100" w:rsidTr="00EA6FA1">
        <w:trPr>
          <w:trHeight w:val="526"/>
        </w:trPr>
        <w:tc>
          <w:tcPr>
            <w:tcW w:w="4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Default="00410100" w:rsidP="00410100">
            <w:pPr>
              <w:rPr>
                <w:lang w:eastAsia="ru-RU"/>
              </w:rPr>
            </w:pPr>
            <w:r>
              <w:rPr>
                <w:rFonts w:asciiTheme="minorHAnsi" w:eastAsia="Calibri" w:hAnsiTheme="minorHAnsi" w:cstheme="minorBidi"/>
                <w:sz w:val="22"/>
                <w:szCs w:val="22"/>
              </w:rPr>
              <w:object w:dxaOrig="2175" w:dyaOrig="360">
                <v:shape id="_x0000_i1039" type="#_x0000_t75" style="width:108.95pt;height:18.15pt" o:ole="">
                  <v:imagedata r:id="rId35" o:title=""/>
                </v:shape>
                <o:OLEObject Type="Embed" ProgID="Equation.3" ShapeID="_x0000_i1039" DrawAspect="Content" ObjectID="_1788091272" r:id="rId36"/>
              </w:objec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Pr="00410100" w:rsidRDefault="00410100" w:rsidP="00410100">
            <w:pPr>
              <w:ind w:hanging="79"/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410100">
              <w:rPr>
                <w:rFonts w:asciiTheme="minorHAnsi" w:hAnsiTheme="minorHAnsi"/>
                <w:sz w:val="22"/>
                <w:szCs w:val="22"/>
                <w:lang w:eastAsia="ru-RU"/>
              </w:rPr>
              <w:t>(3)</w:t>
            </w:r>
          </w:p>
        </w:tc>
      </w:tr>
      <w:tr w:rsidR="00410100" w:rsidTr="00EA6FA1">
        <w:trPr>
          <w:trHeight w:val="549"/>
        </w:trPr>
        <w:tc>
          <w:tcPr>
            <w:tcW w:w="4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Default="00410100" w:rsidP="00410100">
            <w:pPr>
              <w:rPr>
                <w:lang w:eastAsia="ru-RU"/>
              </w:rPr>
            </w:pPr>
            <w:r>
              <w:rPr>
                <w:rFonts w:asciiTheme="minorHAnsi" w:eastAsia="Calibri" w:hAnsiTheme="minorHAnsi" w:cstheme="minorBidi"/>
                <w:sz w:val="22"/>
                <w:szCs w:val="22"/>
              </w:rPr>
              <w:object w:dxaOrig="3330" w:dyaOrig="420">
                <v:shape id="_x0000_i1040" type="#_x0000_t75" style="width:166.55pt;height:20.65pt" o:ole="">
                  <v:imagedata r:id="rId37" o:title=""/>
                </v:shape>
                <o:OLEObject Type="Embed" ProgID="Equation.3" ShapeID="_x0000_i1040" DrawAspect="Content" ObjectID="_1788091273" r:id="rId38"/>
              </w:objec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Pr="00410100" w:rsidRDefault="00410100" w:rsidP="00410100">
            <w:pPr>
              <w:ind w:hanging="79"/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410100">
              <w:rPr>
                <w:rFonts w:asciiTheme="minorHAnsi" w:hAnsiTheme="minorHAnsi"/>
                <w:sz w:val="22"/>
                <w:szCs w:val="22"/>
                <w:lang w:eastAsia="ru-RU"/>
              </w:rPr>
              <w:t>(4)</w:t>
            </w:r>
          </w:p>
        </w:tc>
      </w:tr>
    </w:tbl>
    <w:p w:rsidR="00410100" w:rsidRDefault="00410100" w:rsidP="00410100">
      <w:r>
        <w:t>Полезный отпуск по ТП вычисляется как сумма полезного отпуска по всем отходящим линиям 0,4 кВ.</w:t>
      </w:r>
    </w:p>
    <w:tbl>
      <w:tblPr>
        <w:tblStyle w:val="6"/>
        <w:tblW w:w="4978" w:type="pct"/>
        <w:tblInd w:w="-5" w:type="dxa"/>
        <w:tblLook w:val="04A0" w:firstRow="1" w:lastRow="0" w:firstColumn="1" w:lastColumn="0" w:noHBand="0" w:noVBand="1"/>
      </w:tblPr>
      <w:tblGrid>
        <w:gridCol w:w="8856"/>
        <w:gridCol w:w="673"/>
      </w:tblGrid>
      <w:tr w:rsidR="00410100" w:rsidTr="00EA6FA1">
        <w:tc>
          <w:tcPr>
            <w:tcW w:w="4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100" w:rsidRDefault="00410100" w:rsidP="00410100">
            <w:pPr>
              <w:rPr>
                <w:lang w:eastAsia="ru-RU"/>
              </w:rPr>
            </w:pPr>
            <w:r>
              <w:rPr>
                <w:rFonts w:asciiTheme="minorHAnsi" w:eastAsia="Calibri" w:hAnsiTheme="minorHAnsi" w:cstheme="minorBidi"/>
                <w:position w:val="-28"/>
                <w:sz w:val="22"/>
                <w:szCs w:val="22"/>
              </w:rPr>
              <w:object w:dxaOrig="2445" w:dyaOrig="675">
                <v:shape id="_x0000_i1041" type="#_x0000_t75" style="width:122.1pt;height:33.8pt" o:ole="">
                  <v:imagedata r:id="rId39" o:title=""/>
                </v:shape>
                <o:OLEObject Type="Embed" ProgID="Equation.3" ShapeID="_x0000_i1041" DrawAspect="Content" ObjectID="_1788091274" r:id="rId40"/>
              </w:objec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Pr="00410100" w:rsidRDefault="00410100" w:rsidP="00410100">
            <w:pPr>
              <w:ind w:hanging="79"/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410100">
              <w:rPr>
                <w:rFonts w:asciiTheme="minorHAnsi" w:hAnsiTheme="minorHAnsi"/>
                <w:sz w:val="22"/>
                <w:szCs w:val="22"/>
                <w:lang w:eastAsia="ru-RU"/>
              </w:rPr>
              <w:t>(5)</w:t>
            </w:r>
          </w:p>
        </w:tc>
      </w:tr>
    </w:tbl>
    <w:p w:rsidR="00410100" w:rsidRDefault="00410100" w:rsidP="00410100">
      <w:r>
        <w:t>При отсутствии учета на вводе ТП, но при наличии на всех отходящих линиях 0,4 кВ от ТП, отпуск в сети по ТП равен сумме отпуска в сеть по отходящим линиям 0,4 кВ.</w:t>
      </w:r>
    </w:p>
    <w:tbl>
      <w:tblPr>
        <w:tblStyle w:val="6"/>
        <w:tblW w:w="4978" w:type="pct"/>
        <w:tblInd w:w="-5" w:type="dxa"/>
        <w:tblLook w:val="04A0" w:firstRow="1" w:lastRow="0" w:firstColumn="1" w:lastColumn="0" w:noHBand="0" w:noVBand="1"/>
      </w:tblPr>
      <w:tblGrid>
        <w:gridCol w:w="8856"/>
        <w:gridCol w:w="673"/>
      </w:tblGrid>
      <w:tr w:rsidR="00410100" w:rsidTr="00EA6FA1">
        <w:tc>
          <w:tcPr>
            <w:tcW w:w="4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100" w:rsidRDefault="00410100" w:rsidP="00410100">
            <w:pPr>
              <w:rPr>
                <w:lang w:eastAsia="ru-RU"/>
              </w:rPr>
            </w:pPr>
            <w:r>
              <w:rPr>
                <w:rFonts w:asciiTheme="minorHAnsi" w:eastAsia="Calibri" w:hAnsiTheme="minorHAnsi" w:cstheme="minorBidi"/>
                <w:position w:val="-28"/>
                <w:sz w:val="22"/>
                <w:szCs w:val="22"/>
              </w:rPr>
              <w:object w:dxaOrig="2055" w:dyaOrig="675">
                <v:shape id="_x0000_i1042" type="#_x0000_t75" style="width:102.7pt;height:33.8pt" o:ole="">
                  <v:imagedata r:id="rId41" o:title=""/>
                </v:shape>
                <o:OLEObject Type="Embed" ProgID="Equation.3" ShapeID="_x0000_i1042" DrawAspect="Content" ObjectID="_1788091275" r:id="rId42"/>
              </w:objec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Pr="00410100" w:rsidRDefault="00410100" w:rsidP="00410100">
            <w:pPr>
              <w:ind w:hanging="79"/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410100">
              <w:rPr>
                <w:rFonts w:asciiTheme="minorHAnsi" w:hAnsiTheme="minorHAnsi"/>
                <w:sz w:val="22"/>
                <w:szCs w:val="22"/>
                <w:lang w:eastAsia="ru-RU"/>
              </w:rPr>
              <w:t>(6)</w:t>
            </w:r>
          </w:p>
        </w:tc>
      </w:tr>
    </w:tbl>
    <w:p w:rsidR="00410100" w:rsidRDefault="00410100" w:rsidP="00410100">
      <w:pPr>
        <w:pStyle w:val="1"/>
        <w:ind w:firstLine="567"/>
      </w:pPr>
      <w:r>
        <w:t>При наличии учета на вводе и при отсутствии учета на отходящей линии (нескольких линиях), то отпуск в сеть по линии (линиям), не оборудованные учетом (</w:t>
      </w:r>
      <w:r>
        <w:object w:dxaOrig="975" w:dyaOrig="420">
          <v:shape id="_x0000_i1043" type="#_x0000_t75" style="width:48.85pt;height:20.65pt" o:ole="">
            <v:imagedata r:id="rId43" o:title=""/>
          </v:shape>
          <o:OLEObject Type="Embed" ProgID="Equation.3" ShapeID="_x0000_i1043" DrawAspect="Content" ObjectID="_1788091276" r:id="rId44"/>
        </w:object>
      </w:r>
      <w:r>
        <w:t>), расчет производиться пропорционально полезному отпуску.</w:t>
      </w:r>
    </w:p>
    <w:tbl>
      <w:tblPr>
        <w:tblStyle w:val="6"/>
        <w:tblW w:w="4978" w:type="pct"/>
        <w:tblInd w:w="-5" w:type="dxa"/>
        <w:tblLook w:val="04A0" w:firstRow="1" w:lastRow="0" w:firstColumn="1" w:lastColumn="0" w:noHBand="0" w:noVBand="1"/>
      </w:tblPr>
      <w:tblGrid>
        <w:gridCol w:w="8856"/>
        <w:gridCol w:w="673"/>
      </w:tblGrid>
      <w:tr w:rsidR="00410100" w:rsidTr="00EA6FA1">
        <w:tc>
          <w:tcPr>
            <w:tcW w:w="4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100" w:rsidRDefault="00410100" w:rsidP="00410100">
            <w:pPr>
              <w:rPr>
                <w:lang w:eastAsia="ru-RU"/>
              </w:rPr>
            </w:pPr>
            <w:r>
              <w:rPr>
                <w:rFonts w:asciiTheme="minorHAnsi" w:eastAsia="Calibri" w:hAnsiTheme="minorHAnsi" w:cstheme="minorBidi"/>
                <w:position w:val="-62"/>
                <w:sz w:val="22"/>
                <w:szCs w:val="22"/>
              </w:rPr>
              <w:object w:dxaOrig="5160" w:dyaOrig="1065">
                <v:shape id="_x0000_i1044" type="#_x0000_t75" style="width:257.95pt;height:53.2pt" o:ole="">
                  <v:imagedata r:id="rId45" o:title=""/>
                </v:shape>
                <o:OLEObject Type="Embed" ProgID="Equation.3" ShapeID="_x0000_i1044" DrawAspect="Content" ObjectID="_1788091277" r:id="rId46"/>
              </w:objec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Pr="00410100" w:rsidRDefault="00410100" w:rsidP="00410100">
            <w:pPr>
              <w:ind w:hanging="79"/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410100">
              <w:rPr>
                <w:rFonts w:asciiTheme="minorHAnsi" w:hAnsiTheme="minorHAnsi"/>
                <w:sz w:val="22"/>
                <w:szCs w:val="22"/>
                <w:lang w:eastAsia="ru-RU"/>
              </w:rPr>
              <w:t>(7)</w:t>
            </w:r>
          </w:p>
        </w:tc>
      </w:tr>
    </w:tbl>
    <w:p w:rsidR="00410100" w:rsidRDefault="00410100" w:rsidP="00410100">
      <w:r>
        <w:t>где,</w:t>
      </w:r>
    </w:p>
    <w:p w:rsidR="00410100" w:rsidRDefault="00410100" w:rsidP="00410100">
      <w:r>
        <w:object w:dxaOrig="975" w:dyaOrig="420">
          <v:shape id="_x0000_i1045" type="#_x0000_t75" style="width:48.85pt;height:20.65pt" o:ole="">
            <v:imagedata r:id="rId47" o:title=""/>
          </v:shape>
          <o:OLEObject Type="Embed" ProgID="Equation.3" ShapeID="_x0000_i1045" DrawAspect="Content" ObjectID="_1788091278" r:id="rId48"/>
        </w:object>
      </w:r>
      <w:r>
        <w:t xml:space="preserve"> – отпуск в сеть, по линиям оборудованные прибором учета;</w:t>
      </w:r>
    </w:p>
    <w:p w:rsidR="00410100" w:rsidRDefault="00410100" w:rsidP="00410100">
      <w:r>
        <w:object w:dxaOrig="1170" w:dyaOrig="420">
          <v:shape id="_x0000_i1046" type="#_x0000_t75" style="width:58.85pt;height:20.65pt" o:ole="">
            <v:imagedata r:id="rId49" o:title=""/>
          </v:shape>
          <o:OLEObject Type="Embed" ProgID="Equation.3" ShapeID="_x0000_i1046" DrawAspect="Content" ObjectID="_1788091279" r:id="rId50"/>
        </w:object>
      </w:r>
      <w:r>
        <w:t xml:space="preserve"> – полезный отпуск, по линии необорудованные прибором учета.</w:t>
      </w:r>
    </w:p>
    <w:p w:rsidR="00410100" w:rsidRDefault="00410100" w:rsidP="00410100">
      <w:pPr>
        <w:pStyle w:val="1"/>
        <w:ind w:firstLine="567"/>
      </w:pPr>
      <w:r>
        <w:t>Если учет на ТП и на отходящих линиях 0,4 кВ отсутствует, то расчет отпуска в сеть по данному ТП рассчитывается из пропорции разницы трансформации в сеть 0,4 кВ из 1-20 кВ (</w:t>
      </w:r>
      <w:r>
        <w:object w:dxaOrig="1005" w:dyaOrig="420">
          <v:shape id="_x0000_i1047" type="#_x0000_t75" style="width:50.1pt;height:20.65pt" o:ole="">
            <v:imagedata r:id="rId51" o:title=""/>
          </v:shape>
          <o:OLEObject Type="Embed" ProgID="Equation.3" ShapeID="_x0000_i1047" DrawAspect="Content" ObjectID="_1788091280" r:id="rId52"/>
        </w:object>
      </w:r>
      <w:r>
        <w:t>) (при наличии задействованных кольцевых связей за расчетный период используется суммарное значение трансформации по закольцованным линиям 1-20 кВ, если отсутствует учет) за вычетом суммарного отпуска в сеть по ТП оборудованные учетом (</w:t>
      </w:r>
      <w:r>
        <w:object w:dxaOrig="825" w:dyaOrig="420">
          <v:shape id="_x0000_i1048" type="#_x0000_t75" style="width:41.3pt;height:20.65pt" o:ole="">
            <v:imagedata r:id="rId53" o:title=""/>
          </v:shape>
          <o:OLEObject Type="Embed" ProgID="Equation.3" ShapeID="_x0000_i1048" DrawAspect="Content" ObjectID="_1788091281" r:id="rId54"/>
        </w:object>
      </w:r>
      <w:r>
        <w:t>), и произведением пропорции полезного отпуска по ТП (</w:t>
      </w:r>
      <w:r>
        <w:object w:dxaOrig="825" w:dyaOrig="420">
          <v:shape id="_x0000_i1049" type="#_x0000_t75" style="width:41.3pt;height:20.65pt" o:ole="">
            <v:imagedata r:id="rId55" o:title=""/>
          </v:shape>
          <o:OLEObject Type="Embed" ProgID="Equation.3" ShapeID="_x0000_i1049" DrawAspect="Content" ObjectID="_1788091282" r:id="rId56"/>
        </w:object>
      </w:r>
      <w:r>
        <w:t xml:space="preserve">) и суммарного значения полезного отпуска всех ТП необорудованных прибором учетом. </w:t>
      </w:r>
    </w:p>
    <w:tbl>
      <w:tblPr>
        <w:tblStyle w:val="6"/>
        <w:tblW w:w="4978" w:type="pct"/>
        <w:tblInd w:w="-5" w:type="dxa"/>
        <w:tblLook w:val="04A0" w:firstRow="1" w:lastRow="0" w:firstColumn="1" w:lastColumn="0" w:noHBand="0" w:noVBand="1"/>
      </w:tblPr>
      <w:tblGrid>
        <w:gridCol w:w="8856"/>
        <w:gridCol w:w="673"/>
      </w:tblGrid>
      <w:tr w:rsidR="00410100" w:rsidTr="00EA6FA1">
        <w:tc>
          <w:tcPr>
            <w:tcW w:w="4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100" w:rsidRDefault="00410100" w:rsidP="00410100">
            <w:pPr>
              <w:rPr>
                <w:lang w:eastAsia="ru-RU"/>
              </w:rPr>
            </w:pPr>
            <w:r>
              <w:rPr>
                <w:rFonts w:asciiTheme="minorHAnsi" w:eastAsia="Calibri" w:hAnsiTheme="minorHAnsi" w:cstheme="minorBidi"/>
                <w:position w:val="-62"/>
                <w:sz w:val="22"/>
                <w:szCs w:val="22"/>
              </w:rPr>
              <w:object w:dxaOrig="5430" w:dyaOrig="1080">
                <v:shape id="_x0000_i1050" type="#_x0000_t75" style="width:271.1pt;height:54.45pt" o:ole="">
                  <v:imagedata r:id="rId57" o:title=""/>
                </v:shape>
                <o:OLEObject Type="Embed" ProgID="Equation.3" ShapeID="_x0000_i1050" DrawAspect="Content" ObjectID="_1788091283" r:id="rId58"/>
              </w:objec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Pr="00410100" w:rsidRDefault="00410100" w:rsidP="00410100">
            <w:pPr>
              <w:ind w:hanging="79"/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410100">
              <w:rPr>
                <w:rFonts w:asciiTheme="minorHAnsi" w:hAnsiTheme="minorHAnsi"/>
                <w:sz w:val="22"/>
                <w:szCs w:val="22"/>
                <w:lang w:eastAsia="ru-RU"/>
              </w:rPr>
              <w:t>(8)</w:t>
            </w:r>
          </w:p>
        </w:tc>
      </w:tr>
    </w:tbl>
    <w:p w:rsidR="00410100" w:rsidRPr="00410100" w:rsidRDefault="00410100" w:rsidP="00410100">
      <w:r w:rsidRPr="00410100">
        <w:t>После распределяется отпуск в сеть по линиям 0,4 кВ данного ТП пропорционально полезному отпуску по данным линиям в соотношении с полезным отпуском и отпуском в сеть по ТП.</w:t>
      </w:r>
    </w:p>
    <w:tbl>
      <w:tblPr>
        <w:tblStyle w:val="6"/>
        <w:tblW w:w="4978" w:type="pct"/>
        <w:tblInd w:w="-5" w:type="dxa"/>
        <w:tblLook w:val="04A0" w:firstRow="1" w:lastRow="0" w:firstColumn="1" w:lastColumn="0" w:noHBand="0" w:noVBand="1"/>
      </w:tblPr>
      <w:tblGrid>
        <w:gridCol w:w="8856"/>
        <w:gridCol w:w="673"/>
      </w:tblGrid>
      <w:tr w:rsidR="00EA6FA1" w:rsidTr="00EA6FA1">
        <w:tc>
          <w:tcPr>
            <w:tcW w:w="4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100" w:rsidRDefault="00410100" w:rsidP="00410100">
            <w:pPr>
              <w:rPr>
                <w:lang w:eastAsia="ru-RU"/>
              </w:rPr>
            </w:pPr>
            <w:r>
              <w:rPr>
                <w:rFonts w:asciiTheme="minorHAnsi" w:eastAsia="Calibri" w:hAnsiTheme="minorHAnsi" w:cstheme="minorBidi"/>
                <w:position w:val="-62"/>
                <w:sz w:val="22"/>
                <w:szCs w:val="22"/>
              </w:rPr>
              <w:object w:dxaOrig="3810" w:dyaOrig="1065">
                <v:shape id="_x0000_i1051" type="#_x0000_t75" style="width:190.95pt;height:53.2pt" o:ole="">
                  <v:imagedata r:id="rId59" o:title=""/>
                </v:shape>
                <o:OLEObject Type="Embed" ProgID="Equation.3" ShapeID="_x0000_i1051" DrawAspect="Content" ObjectID="_1788091284" r:id="rId60"/>
              </w:objec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Pr="00410100" w:rsidRDefault="00410100" w:rsidP="00410100">
            <w:pPr>
              <w:ind w:hanging="79"/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410100">
              <w:rPr>
                <w:rFonts w:asciiTheme="minorHAnsi" w:hAnsiTheme="minorHAnsi"/>
                <w:sz w:val="22"/>
                <w:szCs w:val="22"/>
                <w:lang w:eastAsia="ru-RU"/>
              </w:rPr>
              <w:t>(9)</w:t>
            </w:r>
          </w:p>
        </w:tc>
      </w:tr>
    </w:tbl>
    <w:p w:rsidR="00410100" w:rsidRDefault="00410100" w:rsidP="00410100">
      <w:pPr>
        <w:pStyle w:val="1"/>
        <w:tabs>
          <w:tab w:val="clear" w:pos="851"/>
          <w:tab w:val="left" w:pos="993"/>
        </w:tabs>
        <w:ind w:firstLine="567"/>
      </w:pPr>
      <w:r>
        <w:t>Если отсутствует учет на ТП и на нескольких отходящих линиях 0,4 кВ, по линиям, не оборудованным учетом, расчет производиться по следующей формуле:</w:t>
      </w:r>
    </w:p>
    <w:tbl>
      <w:tblPr>
        <w:tblStyle w:val="6"/>
        <w:tblW w:w="5000" w:type="pct"/>
        <w:tblInd w:w="-5" w:type="dxa"/>
        <w:tblLook w:val="04A0" w:firstRow="1" w:lastRow="0" w:firstColumn="1" w:lastColumn="0" w:noHBand="0" w:noVBand="1"/>
      </w:tblPr>
      <w:tblGrid>
        <w:gridCol w:w="8823"/>
        <w:gridCol w:w="748"/>
      </w:tblGrid>
      <w:tr w:rsidR="00410100" w:rsidTr="00EA6FA1">
        <w:tc>
          <w:tcPr>
            <w:tcW w:w="460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100" w:rsidRDefault="00410100" w:rsidP="00410100">
            <w:pPr>
              <w:rPr>
                <w:lang w:eastAsia="ru-RU"/>
              </w:rPr>
            </w:pPr>
            <w:r>
              <w:rPr>
                <w:rFonts w:asciiTheme="minorHAnsi" w:eastAsia="Calibri" w:hAnsiTheme="minorHAnsi" w:cstheme="minorBidi"/>
                <w:position w:val="-66"/>
                <w:sz w:val="22"/>
                <w:szCs w:val="22"/>
              </w:rPr>
              <w:object w:dxaOrig="7125" w:dyaOrig="1095">
                <v:shape id="_x0000_i1052" type="#_x0000_t75" style="width:355.6pt;height:54.45pt" o:ole="">
                  <v:imagedata r:id="rId61" o:title=""/>
                </v:shape>
                <o:OLEObject Type="Embed" ProgID="Equation.3" ShapeID="_x0000_i1052" DrawAspect="Content" ObjectID="_1788091285" r:id="rId62"/>
              </w:object>
            </w:r>
          </w:p>
        </w:tc>
        <w:tc>
          <w:tcPr>
            <w:tcW w:w="39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Pr="00410100" w:rsidRDefault="00410100" w:rsidP="00410100">
            <w:pPr>
              <w:ind w:hanging="79"/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410100">
              <w:rPr>
                <w:rFonts w:asciiTheme="minorHAnsi" w:hAnsiTheme="minorHAnsi"/>
                <w:sz w:val="22"/>
                <w:szCs w:val="22"/>
                <w:lang w:eastAsia="ru-RU"/>
              </w:rPr>
              <w:t>(10)</w:t>
            </w:r>
          </w:p>
        </w:tc>
      </w:tr>
    </w:tbl>
    <w:p w:rsidR="00410100" w:rsidRDefault="00410100" w:rsidP="00410100">
      <w:pPr>
        <w:pStyle w:val="1"/>
        <w:tabs>
          <w:tab w:val="clear" w:pos="851"/>
          <w:tab w:val="left" w:pos="993"/>
        </w:tabs>
        <w:ind w:firstLine="567"/>
      </w:pPr>
      <w:r>
        <w:t>При наличии учета на вводе ТП и отсутствии на отходящих линиях 0,4 кВ от данного ТП, потери по ТП пропорционально полезному отпуску распределяются по линиям 0,4 кВ.</w:t>
      </w:r>
    </w:p>
    <w:tbl>
      <w:tblPr>
        <w:tblStyle w:val="6"/>
        <w:tblW w:w="4978" w:type="pct"/>
        <w:tblInd w:w="-5" w:type="dxa"/>
        <w:tblLook w:val="04A0" w:firstRow="1" w:lastRow="0" w:firstColumn="1" w:lastColumn="0" w:noHBand="0" w:noVBand="1"/>
      </w:tblPr>
      <w:tblGrid>
        <w:gridCol w:w="8856"/>
        <w:gridCol w:w="673"/>
      </w:tblGrid>
      <w:tr w:rsidR="00410100" w:rsidTr="00EA6FA1">
        <w:tc>
          <w:tcPr>
            <w:tcW w:w="4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100" w:rsidRDefault="00410100" w:rsidP="00410100">
            <w:pPr>
              <w:rPr>
                <w:lang w:eastAsia="ru-RU"/>
              </w:rPr>
            </w:pPr>
            <w:r>
              <w:rPr>
                <w:rFonts w:asciiTheme="minorHAnsi" w:eastAsia="Calibri" w:hAnsiTheme="minorHAnsi" w:cstheme="minorBidi"/>
                <w:position w:val="-62"/>
                <w:sz w:val="22"/>
                <w:szCs w:val="22"/>
              </w:rPr>
              <w:object w:dxaOrig="3720" w:dyaOrig="1065">
                <v:shape id="_x0000_i1053" type="#_x0000_t75" style="width:185.95pt;height:53.2pt" o:ole="">
                  <v:imagedata r:id="rId63" o:title=""/>
                </v:shape>
                <o:OLEObject Type="Embed" ProgID="Equation.3" ShapeID="_x0000_i1053" DrawAspect="Content" ObjectID="_1788091286" r:id="rId64"/>
              </w:objec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Pr="00410100" w:rsidRDefault="00410100" w:rsidP="00410100">
            <w:pPr>
              <w:ind w:hanging="79"/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410100">
              <w:rPr>
                <w:rFonts w:asciiTheme="minorHAnsi" w:hAnsiTheme="minorHAnsi"/>
                <w:sz w:val="22"/>
                <w:szCs w:val="22"/>
                <w:lang w:eastAsia="ru-RU"/>
              </w:rPr>
              <w:t>(11)</w:t>
            </w:r>
          </w:p>
        </w:tc>
      </w:tr>
    </w:tbl>
    <w:p w:rsidR="00410100" w:rsidRDefault="00410100" w:rsidP="00410100">
      <w:pPr>
        <w:pStyle w:val="1"/>
        <w:tabs>
          <w:tab w:val="clear" w:pos="851"/>
          <w:tab w:val="left" w:pos="993"/>
        </w:tabs>
        <w:ind w:firstLine="567"/>
      </w:pPr>
      <w:r>
        <w:t>При наличии генерации и отсутствии на ТП и отходящих линиях учета, полезный отпуск по ТП рассчитывается как суммарное значение по отходящим линиям 0,4 кВ за вычетом объема генерации.</w:t>
      </w:r>
    </w:p>
    <w:tbl>
      <w:tblPr>
        <w:tblStyle w:val="6"/>
        <w:tblW w:w="4978" w:type="pct"/>
        <w:tblInd w:w="-5" w:type="dxa"/>
        <w:tblLook w:val="04A0" w:firstRow="1" w:lastRow="0" w:firstColumn="1" w:lastColumn="0" w:noHBand="0" w:noVBand="1"/>
      </w:tblPr>
      <w:tblGrid>
        <w:gridCol w:w="8856"/>
        <w:gridCol w:w="673"/>
      </w:tblGrid>
      <w:tr w:rsidR="00410100" w:rsidTr="00EA6FA1">
        <w:tc>
          <w:tcPr>
            <w:tcW w:w="464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100" w:rsidRDefault="00410100" w:rsidP="00410100">
            <w:pPr>
              <w:rPr>
                <w:lang w:eastAsia="ru-RU"/>
              </w:rPr>
            </w:pPr>
            <w:r>
              <w:rPr>
                <w:rFonts w:asciiTheme="minorHAnsi" w:eastAsiaTheme="minorHAnsi" w:hAnsiTheme="minorHAnsi" w:cstheme="minorBidi"/>
                <w:sz w:val="22"/>
                <w:szCs w:val="22"/>
              </w:rPr>
              <w:object w:dxaOrig="3390" w:dyaOrig="675">
                <v:shape id="_x0000_i1054" type="#_x0000_t75" style="width:169.05pt;height:33.8pt" o:ole="">
                  <v:imagedata r:id="rId65" o:title=""/>
                </v:shape>
                <o:OLEObject Type="Embed" ProgID="Equation.3" ShapeID="_x0000_i1054" DrawAspect="Content" ObjectID="_1788091287" r:id="rId66"/>
              </w:object>
            </w:r>
          </w:p>
        </w:tc>
        <w:tc>
          <w:tcPr>
            <w:tcW w:w="35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Pr="00410100" w:rsidRDefault="00410100" w:rsidP="00410100">
            <w:pPr>
              <w:ind w:hanging="79"/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410100">
              <w:rPr>
                <w:rFonts w:asciiTheme="minorHAnsi" w:hAnsiTheme="minorHAnsi"/>
                <w:sz w:val="22"/>
                <w:szCs w:val="22"/>
                <w:lang w:eastAsia="ru-RU"/>
              </w:rPr>
              <w:t>(12)</w:t>
            </w:r>
          </w:p>
        </w:tc>
      </w:tr>
    </w:tbl>
    <w:p w:rsidR="00410100" w:rsidRDefault="00410100" w:rsidP="00410100">
      <w:r>
        <w:t>Расчет отпуска в сеть по данной ТП рассчитывается в соответствии с формулой 8. Расчет отпуска в сеть по отходящим линиям производится от полезного отпуска линии пропорционально полезному отпуску с учетом генерации и соотношения полезного отпуска по линии 0,4 кВ к сумме полезного отпуска по отходящим от ТП линиям.</w:t>
      </w:r>
    </w:p>
    <w:tbl>
      <w:tblPr>
        <w:tblStyle w:val="6"/>
        <w:tblW w:w="4949" w:type="pct"/>
        <w:tblInd w:w="-5" w:type="dxa"/>
        <w:tblLook w:val="04A0" w:firstRow="1" w:lastRow="0" w:firstColumn="1" w:lastColumn="0" w:noHBand="0" w:noVBand="1"/>
      </w:tblPr>
      <w:tblGrid>
        <w:gridCol w:w="8855"/>
        <w:gridCol w:w="618"/>
      </w:tblGrid>
      <w:tr w:rsidR="00410100" w:rsidTr="00EA6FA1">
        <w:tc>
          <w:tcPr>
            <w:tcW w:w="467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10100" w:rsidRDefault="00410100" w:rsidP="00410100">
            <w:pPr>
              <w:rPr>
                <w:lang w:eastAsia="ru-RU"/>
              </w:rPr>
            </w:pPr>
            <w:r>
              <w:rPr>
                <w:rFonts w:ascii="Cambria Math" w:hAnsi="Cambria Math"/>
                <w:i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Theme="minorHAnsi" w:eastAsia="Calibri" w:hAnsiTheme="minorHAnsi" w:cstheme="minorBidi"/>
                <w:position w:val="-62"/>
                <w:sz w:val="22"/>
                <w:szCs w:val="22"/>
              </w:rPr>
              <w:object w:dxaOrig="4695" w:dyaOrig="1065">
                <v:shape id="_x0000_i1055" type="#_x0000_t75" style="width:234.8pt;height:53.2pt" o:ole="">
                  <v:imagedata r:id="rId67" o:title=""/>
                </v:shape>
                <o:OLEObject Type="Embed" ProgID="Equation.3" ShapeID="_x0000_i1055" DrawAspect="Content" ObjectID="_1788091288" r:id="rId68"/>
              </w:object>
            </w:r>
          </w:p>
        </w:tc>
        <w:tc>
          <w:tcPr>
            <w:tcW w:w="32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10100" w:rsidRPr="00410100" w:rsidRDefault="00410100" w:rsidP="00410100">
            <w:pPr>
              <w:ind w:hanging="79"/>
              <w:jc w:val="center"/>
              <w:rPr>
                <w:rFonts w:asciiTheme="minorHAnsi" w:hAnsiTheme="minorHAnsi"/>
                <w:sz w:val="22"/>
                <w:szCs w:val="22"/>
                <w:lang w:eastAsia="ru-RU"/>
              </w:rPr>
            </w:pPr>
            <w:r w:rsidRPr="00410100">
              <w:rPr>
                <w:rFonts w:asciiTheme="minorHAnsi" w:hAnsiTheme="minorHAnsi"/>
                <w:sz w:val="22"/>
                <w:szCs w:val="22"/>
                <w:lang w:eastAsia="ru-RU"/>
              </w:rPr>
              <w:t>(13)</w:t>
            </w:r>
          </w:p>
        </w:tc>
      </w:tr>
    </w:tbl>
    <w:p w:rsidR="004074C4" w:rsidRPr="004074C4" w:rsidRDefault="004074C4" w:rsidP="00410100">
      <w:pPr>
        <w:rPr>
          <w:rStyle w:val="a4"/>
          <w:i/>
        </w:rPr>
      </w:pPr>
    </w:p>
    <w:sectPr w:rsidR="004074C4" w:rsidRPr="004074C4" w:rsidSect="00C33F03">
      <w:headerReference w:type="default" r:id="rId6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197C" w:rsidRDefault="003C197C" w:rsidP="00C33F03">
      <w:pPr>
        <w:spacing w:after="0" w:line="240" w:lineRule="auto"/>
      </w:pPr>
      <w:r>
        <w:separator/>
      </w:r>
    </w:p>
  </w:endnote>
  <w:endnote w:type="continuationSeparator" w:id="0">
    <w:p w:rsidR="003C197C" w:rsidRDefault="003C197C" w:rsidP="00C33F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197C" w:rsidRDefault="003C197C" w:rsidP="00C33F03">
      <w:pPr>
        <w:spacing w:after="0" w:line="240" w:lineRule="auto"/>
      </w:pPr>
      <w:r>
        <w:separator/>
      </w:r>
    </w:p>
  </w:footnote>
  <w:footnote w:type="continuationSeparator" w:id="0">
    <w:p w:rsidR="003C197C" w:rsidRDefault="003C197C" w:rsidP="00C33F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30459411"/>
      <w:docPartObj>
        <w:docPartGallery w:val="Page Numbers (Top of Page)"/>
        <w:docPartUnique/>
      </w:docPartObj>
    </w:sdtPr>
    <w:sdtEndPr/>
    <w:sdtContent>
      <w:p w:rsidR="00C33F03" w:rsidRDefault="00C33F03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55791A">
          <w:rPr>
            <w:noProof/>
          </w:rPr>
          <w:t>3</w:t>
        </w:r>
        <w:r>
          <w:fldChar w:fldCharType="end"/>
        </w:r>
      </w:p>
    </w:sdtContent>
  </w:sdt>
  <w:p w:rsidR="00C33F03" w:rsidRDefault="00C33F03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20A019D"/>
    <w:multiLevelType w:val="hybridMultilevel"/>
    <w:tmpl w:val="0B006878"/>
    <w:lvl w:ilvl="0" w:tplc="46AEFE64">
      <w:start w:val="1"/>
      <w:numFmt w:val="decimal"/>
      <w:pStyle w:val="1"/>
      <w:lvlText w:val="%1)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>
      <w:start w:val="1"/>
      <w:numFmt w:val="lowerLetter"/>
      <w:lvlText w:val="%5."/>
      <w:lvlJc w:val="left"/>
      <w:pPr>
        <w:ind w:left="3948" w:hanging="360"/>
      </w:pPr>
    </w:lvl>
    <w:lvl w:ilvl="5" w:tplc="0419001B">
      <w:start w:val="1"/>
      <w:numFmt w:val="lowerRoman"/>
      <w:lvlText w:val="%6."/>
      <w:lvlJc w:val="right"/>
      <w:pPr>
        <w:ind w:left="4668" w:hanging="180"/>
      </w:pPr>
    </w:lvl>
    <w:lvl w:ilvl="6" w:tplc="0419000F">
      <w:start w:val="1"/>
      <w:numFmt w:val="decimal"/>
      <w:lvlText w:val="%7."/>
      <w:lvlJc w:val="left"/>
      <w:pPr>
        <w:ind w:left="5388" w:hanging="360"/>
      </w:pPr>
    </w:lvl>
    <w:lvl w:ilvl="7" w:tplc="04190019">
      <w:start w:val="1"/>
      <w:numFmt w:val="lowerLetter"/>
      <w:lvlText w:val="%8."/>
      <w:lvlJc w:val="left"/>
      <w:pPr>
        <w:ind w:left="6108" w:hanging="360"/>
      </w:pPr>
    </w:lvl>
    <w:lvl w:ilvl="8" w:tplc="0419001B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37B3"/>
    <w:rsid w:val="00041D42"/>
    <w:rsid w:val="001322B1"/>
    <w:rsid w:val="002E0958"/>
    <w:rsid w:val="002F00E8"/>
    <w:rsid w:val="003C197C"/>
    <w:rsid w:val="004074C4"/>
    <w:rsid w:val="00410100"/>
    <w:rsid w:val="0048487B"/>
    <w:rsid w:val="0055791A"/>
    <w:rsid w:val="006237B3"/>
    <w:rsid w:val="0071205C"/>
    <w:rsid w:val="00A81A92"/>
    <w:rsid w:val="00C33F03"/>
    <w:rsid w:val="00DC7504"/>
    <w:rsid w:val="00EA6F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5BC910"/>
  <w15:docId w15:val="{634970DB-7174-42C2-802F-1F8E6CBD1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10100"/>
    <w:pPr>
      <w:ind w:firstLine="567"/>
      <w:jc w:val="both"/>
    </w:pPr>
  </w:style>
  <w:style w:type="paragraph" w:styleId="1">
    <w:name w:val="heading 1"/>
    <w:basedOn w:val="a0"/>
    <w:next w:val="a"/>
    <w:link w:val="10"/>
    <w:uiPriority w:val="9"/>
    <w:qFormat/>
    <w:rsid w:val="00410100"/>
    <w:pPr>
      <w:numPr>
        <w:numId w:val="1"/>
      </w:numPr>
      <w:tabs>
        <w:tab w:val="left" w:pos="709"/>
        <w:tab w:val="left" w:pos="851"/>
      </w:tabs>
      <w:ind w:left="0" w:firstLine="426"/>
      <w:outlineLvl w:val="0"/>
    </w:pPr>
    <w:rPr>
      <w:rFonts w:asciiTheme="minorHAnsi" w:hAnsiTheme="minorHAnsi"/>
      <w:sz w:val="2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Book Title"/>
    <w:basedOn w:val="a1"/>
    <w:uiPriority w:val="33"/>
    <w:qFormat/>
    <w:rsid w:val="00410100"/>
    <w:rPr>
      <w:rFonts w:ascii="Arial Narrow" w:hAnsi="Arial Narrow"/>
      <w:b/>
      <w:bCs/>
      <w:iCs/>
      <w:spacing w:val="5"/>
    </w:rPr>
  </w:style>
  <w:style w:type="paragraph" w:styleId="a0">
    <w:name w:val="List Paragraph"/>
    <w:aliases w:val="Основной"/>
    <w:basedOn w:val="a"/>
    <w:uiPriority w:val="34"/>
    <w:qFormat/>
    <w:rsid w:val="00410100"/>
    <w:pPr>
      <w:spacing w:after="0" w:line="240" w:lineRule="auto"/>
      <w:ind w:left="720" w:firstLine="680"/>
      <w:contextualSpacing/>
    </w:pPr>
    <w:rPr>
      <w:rFonts w:ascii="Times New Roman" w:eastAsia="Times New Roman" w:hAnsi="Times New Roman" w:cs="Times New Roman"/>
      <w:sz w:val="28"/>
    </w:rPr>
  </w:style>
  <w:style w:type="table" w:customStyle="1" w:styleId="6">
    <w:name w:val="Сетка таблицы6"/>
    <w:basedOn w:val="a2"/>
    <w:rsid w:val="00410100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1"/>
    <w:link w:val="1"/>
    <w:uiPriority w:val="9"/>
    <w:rsid w:val="00410100"/>
    <w:rPr>
      <w:rFonts w:eastAsia="Times New Roman" w:cs="Times New Roman"/>
    </w:rPr>
  </w:style>
  <w:style w:type="paragraph" w:styleId="a5">
    <w:name w:val="header"/>
    <w:basedOn w:val="a"/>
    <w:link w:val="a6"/>
    <w:uiPriority w:val="99"/>
    <w:unhideWhenUsed/>
    <w:rsid w:val="00C33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C33F03"/>
  </w:style>
  <w:style w:type="paragraph" w:styleId="a7">
    <w:name w:val="footer"/>
    <w:basedOn w:val="a"/>
    <w:link w:val="a8"/>
    <w:uiPriority w:val="99"/>
    <w:unhideWhenUsed/>
    <w:rsid w:val="00C33F0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C33F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58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wmf"/><Relationship Id="rId68" Type="http://schemas.openxmlformats.org/officeDocument/2006/relationships/oleObject" Target="embeddings/oleObject31.bin"/><Relationship Id="rId7" Type="http://schemas.openxmlformats.org/officeDocument/2006/relationships/image" Target="media/image1.wmf"/><Relationship Id="rId71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9" Type="http://schemas.openxmlformats.org/officeDocument/2006/relationships/image" Target="media/image12.wmf"/><Relationship Id="rId11" Type="http://schemas.openxmlformats.org/officeDocument/2006/relationships/image" Target="media/image3.wmf"/><Relationship Id="rId24" Type="http://schemas.openxmlformats.org/officeDocument/2006/relationships/oleObject" Target="embeddings/oleObject9.bin"/><Relationship Id="rId32" Type="http://schemas.openxmlformats.org/officeDocument/2006/relationships/oleObject" Target="embeddings/oleObject13.bin"/><Relationship Id="rId37" Type="http://schemas.openxmlformats.org/officeDocument/2006/relationships/image" Target="media/image16.wmf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66" Type="http://schemas.openxmlformats.org/officeDocument/2006/relationships/oleObject" Target="embeddings/oleObject30.bin"/><Relationship Id="rId5" Type="http://schemas.openxmlformats.org/officeDocument/2006/relationships/footnotes" Target="footnotes.xml"/><Relationship Id="rId61" Type="http://schemas.openxmlformats.org/officeDocument/2006/relationships/image" Target="media/image28.wmf"/><Relationship Id="rId19" Type="http://schemas.openxmlformats.org/officeDocument/2006/relationships/image" Target="media/image7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43" Type="http://schemas.openxmlformats.org/officeDocument/2006/relationships/image" Target="media/image19.wmf"/><Relationship Id="rId48" Type="http://schemas.openxmlformats.org/officeDocument/2006/relationships/oleObject" Target="embeddings/oleObject21.bin"/><Relationship Id="rId56" Type="http://schemas.openxmlformats.org/officeDocument/2006/relationships/oleObject" Target="embeddings/oleObject25.bin"/><Relationship Id="rId64" Type="http://schemas.openxmlformats.org/officeDocument/2006/relationships/oleObject" Target="embeddings/oleObject29.bin"/><Relationship Id="rId69" Type="http://schemas.openxmlformats.org/officeDocument/2006/relationships/header" Target="head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image" Target="media/image14.wmf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701</Words>
  <Characters>3997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Булавинцев Алексей Сергеевич</dc:creator>
  <cp:lastModifiedBy>Акимова Дарья Владимировна</cp:lastModifiedBy>
  <cp:revision>4</cp:revision>
  <dcterms:created xsi:type="dcterms:W3CDTF">2018-05-15T12:14:00Z</dcterms:created>
  <dcterms:modified xsi:type="dcterms:W3CDTF">2024-09-17T12:14:00Z</dcterms:modified>
</cp:coreProperties>
</file>