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2E74B5"/>
          <w:sz w:val="20"/>
        </w:rPr>
        <w:t>EVALUATION REPORT</w:t>
      </w:r>
    </w:p>
    <w:p>
      <w:pPr>
        <w:pStyle w:val="Title"/>
      </w:pPr>
      <w:r>
        <w:rPr>
          <w:rFonts w:ascii="Calibri" w:hAnsi="Calibri"/>
          <w:b/>
          <w:i w:val="0"/>
          <w:color w:val="202124"/>
          <w:sz w:val="48"/>
        </w:rPr>
        <w:t>Agentic Video Understanding</w:t>
      </w:r>
    </w:p>
    <w:p>
      <w:pPr>
        <w:pStyle w:val="Subtitle"/>
      </w:pPr>
      <w:r>
        <w:rPr>
          <w:rFonts w:ascii="Calibri" w:hAnsi="Calibri"/>
          <w:b w:val="0"/>
          <w:i w:val="0"/>
          <w:color w:val="5F6368"/>
          <w:sz w:val="26"/>
        </w:rPr>
        <w:t>Gemini 3.6 Flash Video Understanding EAP</w:t>
      </w:r>
    </w:p>
    <w:p>
      <w:pPr>
        <w:spacing w:after="40"/>
      </w:pPr>
      <w:r>
        <w:rPr>
          <w:rFonts w:ascii="Calibri" w:hAnsi="Calibri"/>
          <w:b/>
          <w:i w:val="0"/>
          <w:color w:val="202124"/>
          <w:sz w:val="20"/>
        </w:rPr>
        <w:t xml:space="preserve">Evaluator: </w:t>
      </w:r>
      <w:r>
        <w:rPr>
          <w:rFonts w:ascii="Calibri" w:hAnsi="Calibri"/>
          <w:b w:val="0"/>
          <w:i w:val="0"/>
          <w:color w:val="202124"/>
          <w:sz w:val="20"/>
        </w:rPr>
        <w:t>Victor Ashioya</w:t>
      </w:r>
    </w:p>
    <w:p>
      <w:pPr>
        <w:spacing w:after="40"/>
      </w:pPr>
      <w:r>
        <w:rPr>
          <w:rFonts w:ascii="Calibri" w:hAnsi="Calibri"/>
          <w:b/>
          <w:i w:val="0"/>
          <w:color w:val="202124"/>
          <w:sz w:val="20"/>
        </w:rPr>
        <w:t xml:space="preserve">Model: </w:t>
      </w:r>
      <w:r>
        <w:rPr>
          <w:rFonts w:ascii="Calibri" w:hAnsi="Calibri"/>
          <w:b w:val="0"/>
          <w:i w:val="0"/>
          <w:color w:val="202124"/>
          <w:sz w:val="20"/>
        </w:rPr>
        <w:t>models/gemini-3.6-flash-video-understanding-eap</w:t>
      </w:r>
    </w:p>
    <w:p>
      <w:pPr>
        <w:spacing w:after="40"/>
      </w:pPr>
      <w:r>
        <w:rPr>
          <w:rFonts w:ascii="Calibri" w:hAnsi="Calibri"/>
          <w:b/>
          <w:i w:val="0"/>
          <w:color w:val="202124"/>
          <w:sz w:val="20"/>
        </w:rPr>
        <w:t xml:space="preserve">Authorized project: </w:t>
      </w:r>
      <w:r>
        <w:rPr>
          <w:rFonts w:ascii="Calibri" w:hAnsi="Calibri"/>
          <w:b w:val="0"/>
          <w:i w:val="0"/>
          <w:color w:val="202124"/>
          <w:sz w:val="20"/>
        </w:rPr>
        <w:t>784540487552</w:t>
      </w:r>
    </w:p>
    <w:p>
      <w:pPr>
        <w:spacing w:after="40"/>
      </w:pPr>
      <w:r>
        <w:rPr>
          <w:rFonts w:ascii="Calibri" w:hAnsi="Calibri"/>
          <w:b/>
          <w:i w:val="0"/>
          <w:color w:val="202124"/>
          <w:sz w:val="20"/>
        </w:rPr>
        <w:t xml:space="preserve">Evaluation window: </w:t>
      </w:r>
      <w:r>
        <w:rPr>
          <w:rFonts w:ascii="Calibri" w:hAnsi="Calibri"/>
          <w:b w:val="0"/>
          <w:i w:val="0"/>
          <w:color w:val="202124"/>
          <w:sz w:val="20"/>
        </w:rPr>
        <w:t>16-17 August 2026</w:t>
      </w:r>
    </w:p>
    <w:p>
      <w:pPr>
        <w:spacing w:after="40"/>
      </w:pPr>
      <w:r>
        <w:rPr>
          <w:rFonts w:ascii="Calibri" w:hAnsi="Calibri"/>
          <w:b/>
          <w:i w:val="0"/>
          <w:color w:val="202124"/>
          <w:sz w:val="20"/>
        </w:rPr>
        <w:t xml:space="preserve">Scope: </w:t>
      </w:r>
      <w:r>
        <w:rPr>
          <w:rFonts w:ascii="Calibri" w:hAnsi="Calibri"/>
          <w:b w:val="0"/>
          <w:i w:val="0"/>
          <w:color w:val="202124"/>
          <w:sz w:val="20"/>
        </w:rPr>
        <w:t>Static versus agentic processing on synthetic temporal and motion tasks</w:t>
      </w:r>
    </w:p>
    <w:tbl>
      <w:tblPr>
        <w:tblW w:type="dxa" w:w="9360"/>
        <w:tblLayout w:type="fixed"/>
        <w:tblLook w:firstColumn="1" w:firstRow="1" w:lastColumn="0" w:lastRow="0" w:noHBand="0" w:noVBand="1" w:val="04A0"/>
        <w:tblInd w:w="120" w:type="dxa"/>
      </w:tblPr>
      <w:tblGrid>
        <w:gridCol w:w="9360"/>
      </w:tblGrid>
      <w:tr>
        <w:tc>
          <w:tcPr>
            <w:tcW w:type="dxa" w:w="9360"/>
            <w:tcMar>
              <w:top w:w="140" w:type="dxa"/>
              <w:start w:w="160" w:type="dxa"/>
              <w:bottom w:w="140" w:type="dxa"/>
              <w:end w:w="160" w:type="dxa"/>
            </w:tcMar>
            <w:vAlign w:val="center"/>
            <w:shd w:fill="E8F0FE"/>
          </w:tcPr>
          <w:p>
            <w:pPr>
              <w:spacing w:after="0"/>
            </w:pPr>
            <w:r>
              <w:rPr>
                <w:rFonts w:ascii="Calibri" w:hAnsi="Calibri"/>
                <w:b/>
                <w:i w:val="0"/>
                <w:color w:val="1F4D78"/>
                <w:sz w:val="22"/>
              </w:rPr>
              <w:t xml:space="preserve">Executive finding. </w:t>
            </w:r>
            <w:r>
              <w:rPr>
                <w:rFonts w:ascii="Calibri" w:hAnsi="Calibri"/>
                <w:b w:val="0"/>
                <w:i w:val="0"/>
                <w:color w:val="202124"/>
                <w:sz w:val="22"/>
              </w:rPr>
              <w:t>Agentic processing was not a uniform upgrade. It showed a compelling accuracy advantage on dense fine-motion ordering and major token reductions on selected localization and negative-state tasks, but also severe, query-dependent non-convergence - including two failures that persisted for 600 seconds despite static processing answering the same content reliably.</w:t>
            </w:r>
          </w:p>
        </w:tc>
      </w:tr>
    </w:tbl>
    <w:p>
      <w:pPr>
        <w:spacing w:after="20"/>
      </w:pPr>
    </w:p>
    <w:p>
      <w:pPr>
        <w:pStyle w:val="Heading1"/>
      </w:pPr>
      <w:r>
        <w:t>1. Evaluation objective</w:t>
      </w:r>
    </w:p>
    <w:p>
      <w:r>
        <w:t>The evaluation tested whether allowing the model to decide how to inspect video improves quality or efficiency over fixed-rate static processing. The suite emphasized the behaviors highlighted in the EAP brief: selective re-sampling for fast motion, scan-and-focus for sparse events, state tracking across reversible actions, and avoiding false positives when an action begins but is not completed.</w:t>
      </w:r>
    </w:p>
    <w:p>
      <w:pPr>
        <w:pStyle w:val="ListBullet"/>
      </w:pPr>
      <w:r>
        <w:rPr>
          <w:rFonts w:ascii="Calibri" w:hAnsi="Calibri"/>
          <w:b/>
          <w:i w:val="0"/>
          <w:color w:val="202124"/>
          <w:sz w:val="22"/>
        </w:rPr>
        <w:t>Primary outcomes:</w:t>
      </w:r>
      <w:r>
        <w:rPr>
          <w:rFonts w:ascii="Calibri" w:hAnsi="Calibri"/>
          <w:b w:val="0"/>
          <w:i w:val="0"/>
          <w:color w:val="202124"/>
          <w:sz w:val="22"/>
        </w:rPr>
        <w:t xml:space="preserve"> semantic quality, strict output compliance, completion reliability, input and total tokens, and provider-reported inference latency.</w:t>
      </w:r>
    </w:p>
    <w:p>
      <w:pPr>
        <w:pStyle w:val="ListBullet"/>
      </w:pPr>
      <w:r>
        <w:rPr>
          <w:rFonts w:ascii="Calibri" w:hAnsi="Calibri"/>
          <w:b/>
          <w:i w:val="0"/>
          <w:color w:val="202124"/>
          <w:sz w:val="22"/>
        </w:rPr>
        <w:t>Primary comparison:</w:t>
      </w:r>
      <w:r>
        <w:rPr>
          <w:rFonts w:ascii="Calibri" w:hAnsi="Calibri"/>
          <w:b w:val="0"/>
          <w:i w:val="0"/>
          <w:color w:val="202124"/>
          <w:sz w:val="22"/>
        </w:rPr>
        <w:t xml:space="preserve"> 36 counterbalanced attempts, comprising six tasks, two modes and three repetitions per mode, with a 180-second request timeout.</w:t>
      </w:r>
    </w:p>
    <w:p>
      <w:pPr>
        <w:pStyle w:val="ListBullet"/>
      </w:pPr>
      <w:r>
        <w:rPr>
          <w:rFonts w:ascii="Calibri" w:hAnsi="Calibri"/>
          <w:b/>
          <w:i w:val="0"/>
          <w:color w:val="202124"/>
          <w:sz w:val="22"/>
        </w:rPr>
        <w:t>Diagnostic follow-up:</w:t>
      </w:r>
      <w:r>
        <w:rPr>
          <w:rFonts w:ascii="Calibri" w:hAnsi="Calibri"/>
          <w:b w:val="0"/>
          <w:i w:val="0"/>
          <w:color w:val="202124"/>
          <w:sz w:val="22"/>
        </w:rPr>
        <w:t xml:space="preserve"> six deliberately selected retries with a 600-second timeout to distinguish persistent failures from timeout-censored or transient failures.</w:t>
      </w:r>
    </w:p>
    <w:p>
      <w:pPr>
        <w:pStyle w:val="Heading1"/>
      </w:pPr>
      <w:r>
        <w:t>2. Method</w:t>
      </w:r>
    </w:p>
    <w:p>
      <w:pPr>
        <w:pStyle w:val="Heading2"/>
      </w:pPr>
      <w:r>
        <w:t>2.1 Test design</w:t>
      </w:r>
    </w:p>
    <w:p>
      <w:r>
        <w:t>Short synthetic clips were used so event identity, order, completion and ground truth were controlled exactly. The clips were approximately 18-24 seconds long. Static and agentic modes received the same uploaded video and prompt. Upload/processing overhead was separated from provider inference latency where available, and execution order was counterbalanced to reduce order effects.</w:t>
      </w:r>
    </w:p>
    <w:tbl>
      <w:tblPr>
        <w:tblStyle w:val="TableGrid"/>
        <w:tblW w:type="dxa" w:w="9360"/>
        <w:tblLayout w:type="fixed"/>
        <w:tblLook w:firstColumn="1" w:firstRow="1" w:lastColumn="0" w:lastRow="0" w:noHBand="0" w:noVBand="1" w:val="04A0"/>
        <w:tblInd w:w="120" w:type="dxa"/>
      </w:tblPr>
      <w:tblGrid>
        <w:gridCol w:w="1800"/>
        <w:gridCol w:w="2500"/>
        <w:gridCol w:w="5060"/>
      </w:tblGrid>
      <w:tr>
        <w:trPr>
          <w:tblHeader w:val="true"/>
        </w:trPr>
        <w:tc>
          <w:tcPr>
            <w:tcW w:type="dxa" w:w="1800"/>
            <w:tcMar>
              <w:top w:w="80" w:type="dxa"/>
              <w:start w:w="120" w:type="dxa"/>
              <w:bottom w:w="80" w:type="dxa"/>
              <w:end w:w="120" w:type="dxa"/>
            </w:tcMar>
            <w:vAlign w:val="center"/>
            <w:shd w:fill="F2F4F7"/>
          </w:tcPr>
          <w:p>
            <w:pPr>
              <w:spacing w:after="0"/>
            </w:pPr>
            <w:r>
              <w:rPr>
                <w:rFonts w:ascii="Calibri" w:hAnsi="Calibri"/>
                <w:b/>
                <w:i w:val="0"/>
                <w:color w:val="1F4D78"/>
                <w:sz w:val="18"/>
              </w:rPr>
              <w:t>Family</w:t>
            </w:r>
          </w:p>
        </w:tc>
        <w:tc>
          <w:tcPr>
            <w:tcW w:type="dxa" w:w="2500"/>
            <w:tcMar>
              <w:top w:w="80" w:type="dxa"/>
              <w:start w:w="120" w:type="dxa"/>
              <w:bottom w:w="80" w:type="dxa"/>
              <w:end w:w="120" w:type="dxa"/>
            </w:tcMar>
            <w:vAlign w:val="center"/>
            <w:shd w:fill="F2F4F7"/>
          </w:tcPr>
          <w:p>
            <w:pPr>
              <w:spacing w:after="0"/>
            </w:pPr>
            <w:r>
              <w:rPr>
                <w:rFonts w:ascii="Calibri" w:hAnsi="Calibri"/>
                <w:b/>
                <w:i w:val="0"/>
                <w:color w:val="1F4D78"/>
                <w:sz w:val="18"/>
              </w:rPr>
              <w:t>Task</w:t>
            </w:r>
          </w:p>
        </w:tc>
        <w:tc>
          <w:tcPr>
            <w:tcW w:type="dxa" w:w="5060"/>
            <w:tcMar>
              <w:top w:w="80" w:type="dxa"/>
              <w:start w:w="120" w:type="dxa"/>
              <w:bottom w:w="80" w:type="dxa"/>
              <w:end w:w="120" w:type="dxa"/>
            </w:tcMar>
            <w:vAlign w:val="center"/>
            <w:shd w:fill="F2F4F7"/>
          </w:tcPr>
          <w:p>
            <w:pPr>
              <w:spacing w:after="0"/>
            </w:pPr>
            <w:r>
              <w:rPr>
                <w:rFonts w:ascii="Calibri" w:hAnsi="Calibri"/>
                <w:b/>
                <w:i w:val="0"/>
                <w:color w:val="1F4D78"/>
                <w:sz w:val="18"/>
              </w:rPr>
              <w:t>Capability tested</w:t>
            </w:r>
          </w:p>
        </w:tc>
      </w:tr>
      <w:tr>
        <w:tc>
          <w:tcPr>
            <w:tcW w:type="dxa" w:w="1800"/>
            <w:tcMar>
              <w:top w:w="80" w:type="dxa"/>
              <w:start w:w="120" w:type="dxa"/>
              <w:bottom w:w="80" w:type="dxa"/>
              <w:end w:w="120" w:type="dxa"/>
            </w:tcMar>
            <w:vAlign w:val="center"/>
          </w:tcPr>
          <w:p>
            <w:pPr>
              <w:spacing w:after="0"/>
              <w:jc w:val="left"/>
            </w:pPr>
            <w:r>
              <w:rPr>
                <w:rFonts w:ascii="Calibri" w:hAnsi="Calibri"/>
                <w:b w:val="0"/>
                <w:i w:val="0"/>
                <w:color w:val="202124"/>
                <w:sz w:val="18"/>
              </w:rPr>
              <w:t>Fine motion</w:t>
            </w:r>
          </w:p>
        </w:tc>
        <w:tc>
          <w:tcPr>
            <w:tcW w:type="dxa" w:w="2500"/>
            <w:tcMar>
              <w:top w:w="80" w:type="dxa"/>
              <w:start w:w="120" w:type="dxa"/>
              <w:bottom w:w="80" w:type="dxa"/>
              <w:end w:w="120" w:type="dxa"/>
            </w:tcMar>
            <w:vAlign w:val="center"/>
          </w:tcPr>
          <w:p>
            <w:pPr>
              <w:spacing w:after="0"/>
              <w:jc w:val="left"/>
            </w:pPr>
            <w:r>
              <w:rPr>
                <w:rFonts w:ascii="Calibri" w:hAnsi="Calibri"/>
                <w:b w:val="0"/>
                <w:i w:val="0"/>
                <w:color w:val="202124"/>
                <w:sz w:val="18"/>
              </w:rPr>
              <w:t>Rapid crossing order</w:t>
            </w:r>
          </w:p>
        </w:tc>
        <w:tc>
          <w:tcPr>
            <w:tcW w:type="dxa" w:w="5060"/>
            <w:tcMar>
              <w:top w:w="80" w:type="dxa"/>
              <w:start w:w="120" w:type="dxa"/>
              <w:bottom w:w="80" w:type="dxa"/>
              <w:end w:w="120" w:type="dxa"/>
            </w:tcMar>
            <w:vAlign w:val="center"/>
          </w:tcPr>
          <w:p>
            <w:pPr>
              <w:spacing w:after="0"/>
              <w:jc w:val="left"/>
            </w:pPr>
            <w:r>
              <w:rPr>
                <w:rFonts w:ascii="Calibri" w:hAnsi="Calibri"/>
                <w:b w:val="0"/>
                <w:i w:val="0"/>
                <w:color w:val="202124"/>
                <w:sz w:val="18"/>
              </w:rPr>
              <w:t>Order five quickly moving colored objects</w:t>
            </w:r>
          </w:p>
        </w:tc>
      </w:tr>
      <w:tr>
        <w:tc>
          <w:tcPr>
            <w:tcW w:type="dxa" w:w="1800"/>
            <w:tcMar>
              <w:top w:w="80" w:type="dxa"/>
              <w:start w:w="120" w:type="dxa"/>
              <w:bottom w:w="80" w:type="dxa"/>
              <w:end w:w="120" w:type="dxa"/>
            </w:tcMar>
            <w:vAlign w:val="center"/>
          </w:tcPr>
          <w:p>
            <w:pPr>
              <w:spacing w:after="0"/>
              <w:jc w:val="left"/>
            </w:pPr>
            <w:r>
              <w:rPr>
                <w:rFonts w:ascii="Calibri" w:hAnsi="Calibri"/>
                <w:b w:val="0"/>
                <w:i w:val="0"/>
                <w:color w:val="202124"/>
                <w:sz w:val="18"/>
              </w:rPr>
              <w:t>Incomplete action</w:t>
            </w:r>
          </w:p>
        </w:tc>
        <w:tc>
          <w:tcPr>
            <w:tcW w:type="dxa" w:w="2500"/>
            <w:tcMar>
              <w:top w:w="80" w:type="dxa"/>
              <w:start w:w="120" w:type="dxa"/>
              <w:bottom w:w="80" w:type="dxa"/>
              <w:end w:w="120" w:type="dxa"/>
            </w:tcMar>
            <w:vAlign w:val="center"/>
          </w:tcPr>
          <w:p>
            <w:pPr>
              <w:spacing w:after="0"/>
              <w:jc w:val="center"/>
            </w:pPr>
            <w:r>
              <w:rPr>
                <w:rFonts w:ascii="Calibri" w:hAnsi="Calibri"/>
                <w:b w:val="0"/>
                <w:i w:val="0"/>
                <w:color w:val="202124"/>
                <w:sz w:val="18"/>
              </w:rPr>
              <w:t>Feint negative</w:t>
            </w:r>
          </w:p>
        </w:tc>
        <w:tc>
          <w:tcPr>
            <w:tcW w:type="dxa" w:w="5060"/>
            <w:tcMar>
              <w:top w:w="80" w:type="dxa"/>
              <w:start w:w="120" w:type="dxa"/>
              <w:bottom w:w="80" w:type="dxa"/>
              <w:end w:w="120" w:type="dxa"/>
            </w:tcMar>
            <w:vAlign w:val="center"/>
          </w:tcPr>
          <w:p>
            <w:pPr>
              <w:spacing w:after="0"/>
              <w:jc w:val="left"/>
            </w:pPr>
            <w:r>
              <w:rPr>
                <w:rFonts w:ascii="Calibri" w:hAnsi="Calibri"/>
                <w:b w:val="0"/>
                <w:i w:val="0"/>
                <w:color w:val="202124"/>
                <w:sz w:val="18"/>
              </w:rPr>
              <w:t>Reject an apparent but uncompleted swallow</w:t>
            </w:r>
          </w:p>
        </w:tc>
      </w:tr>
      <w:tr>
        <w:tc>
          <w:tcPr>
            <w:tcW w:type="dxa" w:w="1800"/>
            <w:tcMar>
              <w:top w:w="80" w:type="dxa"/>
              <w:start w:w="120" w:type="dxa"/>
              <w:bottom w:w="80" w:type="dxa"/>
              <w:end w:w="120" w:type="dxa"/>
            </w:tcMar>
            <w:vAlign w:val="center"/>
          </w:tcPr>
          <w:p>
            <w:pPr>
              <w:spacing w:after="0"/>
              <w:jc w:val="left"/>
            </w:pPr>
            <w:r>
              <w:rPr>
                <w:rFonts w:ascii="Calibri" w:hAnsi="Calibri"/>
                <w:b w:val="0"/>
                <w:i w:val="0"/>
                <w:color w:val="202124"/>
                <w:sz w:val="18"/>
              </w:rPr>
              <w:t>Reversible state</w:t>
            </w:r>
          </w:p>
        </w:tc>
        <w:tc>
          <w:tcPr>
            <w:tcW w:type="dxa" w:w="2500"/>
            <w:tcMar>
              <w:top w:w="80" w:type="dxa"/>
              <w:start w:w="120" w:type="dxa"/>
              <w:bottom w:w="80" w:type="dxa"/>
              <w:end w:w="120" w:type="dxa"/>
            </w:tcMar>
            <w:vAlign w:val="center"/>
          </w:tcPr>
          <w:p>
            <w:pPr>
              <w:spacing w:after="0"/>
              <w:jc w:val="center"/>
            </w:pPr>
            <w:r>
              <w:rPr>
                <w:rFonts w:ascii="Calibri" w:hAnsi="Calibri"/>
                <w:b w:val="0"/>
                <w:i w:val="0"/>
                <w:color w:val="202124"/>
                <w:sz w:val="18"/>
              </w:rPr>
              <w:t>Red-swallow count</w:t>
            </w:r>
          </w:p>
        </w:tc>
        <w:tc>
          <w:tcPr>
            <w:tcW w:type="dxa" w:w="5060"/>
            <w:tcMar>
              <w:top w:w="80" w:type="dxa"/>
              <w:start w:w="120" w:type="dxa"/>
              <w:bottom w:w="80" w:type="dxa"/>
              <w:end w:w="120" w:type="dxa"/>
            </w:tcMar>
            <w:vAlign w:val="center"/>
          </w:tcPr>
          <w:p>
            <w:pPr>
              <w:spacing w:after="0"/>
              <w:jc w:val="left"/>
            </w:pPr>
            <w:r>
              <w:rPr>
                <w:rFonts w:ascii="Calibri" w:hAnsi="Calibri"/>
                <w:b w:val="0"/>
                <w:i w:val="0"/>
                <w:color w:val="202124"/>
                <w:sz w:val="18"/>
              </w:rPr>
              <w:t>Count repeated identity-specific state changes</w:t>
            </w:r>
          </w:p>
        </w:tc>
      </w:tr>
      <w:tr>
        <w:tc>
          <w:tcPr>
            <w:tcW w:type="dxa" w:w="1800"/>
            <w:tcMar>
              <w:top w:w="80" w:type="dxa"/>
              <w:start w:w="120" w:type="dxa"/>
              <w:bottom w:w="80" w:type="dxa"/>
              <w:end w:w="120" w:type="dxa"/>
            </w:tcMar>
            <w:vAlign w:val="center"/>
          </w:tcPr>
          <w:p>
            <w:pPr>
              <w:spacing w:after="0"/>
              <w:jc w:val="left"/>
            </w:pPr>
            <w:r>
              <w:rPr>
                <w:rFonts w:ascii="Calibri" w:hAnsi="Calibri"/>
                <w:b w:val="0"/>
                <w:i w:val="0"/>
                <w:color w:val="202124"/>
                <w:sz w:val="18"/>
              </w:rPr>
              <w:t>Reversible state</w:t>
            </w:r>
          </w:p>
        </w:tc>
        <w:tc>
          <w:tcPr>
            <w:tcW w:type="dxa" w:w="2500"/>
            <w:tcMar>
              <w:top w:w="80" w:type="dxa"/>
              <w:start w:w="120" w:type="dxa"/>
              <w:bottom w:w="80" w:type="dxa"/>
              <w:end w:w="120" w:type="dxa"/>
            </w:tcMar>
            <w:vAlign w:val="center"/>
          </w:tcPr>
          <w:p>
            <w:pPr>
              <w:spacing w:after="0"/>
              <w:jc w:val="left"/>
            </w:pPr>
            <w:r>
              <w:rPr>
                <w:rFonts w:ascii="Calibri" w:hAnsi="Calibri"/>
                <w:b w:val="0"/>
                <w:i w:val="0"/>
                <w:color w:val="202124"/>
                <w:sz w:val="18"/>
              </w:rPr>
              <w:t>Completed-action ledger</w:t>
            </w:r>
          </w:p>
        </w:tc>
        <w:tc>
          <w:tcPr>
            <w:tcW w:type="dxa" w:w="5060"/>
            <w:tcMar>
              <w:top w:w="80" w:type="dxa"/>
              <w:start w:w="120" w:type="dxa"/>
              <w:bottom w:w="80" w:type="dxa"/>
              <w:end w:w="120" w:type="dxa"/>
            </w:tcMar>
            <w:vAlign w:val="center"/>
          </w:tcPr>
          <w:p>
            <w:pPr>
              <w:spacing w:after="0"/>
              <w:jc w:val="left"/>
            </w:pPr>
            <w:r>
              <w:rPr>
                <w:rFonts w:ascii="Calibri" w:hAnsi="Calibri"/>
                <w:b w:val="0"/>
                <w:i w:val="0"/>
                <w:color w:val="202124"/>
                <w:sz w:val="18"/>
              </w:rPr>
              <w:t>Reconstruct distributed completed events in order</w:t>
            </w:r>
          </w:p>
        </w:tc>
      </w:tr>
      <w:tr>
        <w:tc>
          <w:tcPr>
            <w:tcW w:type="dxa" w:w="1800"/>
            <w:tcMar>
              <w:top w:w="80" w:type="dxa"/>
              <w:start w:w="120" w:type="dxa"/>
              <w:bottom w:w="80" w:type="dxa"/>
              <w:end w:w="120" w:type="dxa"/>
            </w:tcMar>
            <w:vAlign w:val="center"/>
          </w:tcPr>
          <w:p>
            <w:pPr>
              <w:spacing w:after="0"/>
              <w:jc w:val="left"/>
            </w:pPr>
            <w:r>
              <w:rPr>
                <w:rFonts w:ascii="Calibri" w:hAnsi="Calibri"/>
                <w:b w:val="0"/>
                <w:i w:val="0"/>
                <w:color w:val="202124"/>
                <w:sz w:val="18"/>
              </w:rPr>
              <w:t>Sparse event</w:t>
            </w:r>
          </w:p>
        </w:tc>
        <w:tc>
          <w:tcPr>
            <w:tcW w:type="dxa" w:w="2500"/>
            <w:tcMar>
              <w:top w:w="80" w:type="dxa"/>
              <w:start w:w="120" w:type="dxa"/>
              <w:bottom w:w="80" w:type="dxa"/>
              <w:end w:w="120" w:type="dxa"/>
            </w:tcMar>
            <w:vAlign w:val="center"/>
          </w:tcPr>
          <w:p>
            <w:pPr>
              <w:spacing w:after="0"/>
              <w:jc w:val="center"/>
            </w:pPr>
            <w:r>
              <w:rPr>
                <w:rFonts w:ascii="Calibri" w:hAnsi="Calibri"/>
                <w:b w:val="0"/>
                <w:i w:val="0"/>
                <w:color w:val="202124"/>
                <w:sz w:val="18"/>
              </w:rPr>
              <w:t>Needle color</w:t>
            </w:r>
          </w:p>
        </w:tc>
        <w:tc>
          <w:tcPr>
            <w:tcW w:type="dxa" w:w="5060"/>
            <w:tcMar>
              <w:top w:w="80" w:type="dxa"/>
              <w:start w:w="120" w:type="dxa"/>
              <w:bottom w:w="80" w:type="dxa"/>
              <w:end w:w="120" w:type="dxa"/>
            </w:tcMar>
            <w:vAlign w:val="center"/>
          </w:tcPr>
          <w:p>
            <w:pPr>
              <w:spacing w:after="0"/>
              <w:jc w:val="left"/>
            </w:pPr>
            <w:r>
              <w:rPr>
                <w:rFonts w:ascii="Calibri" w:hAnsi="Calibri"/>
                <w:b w:val="0"/>
                <w:i w:val="0"/>
                <w:color w:val="202124"/>
                <w:sz w:val="18"/>
              </w:rPr>
              <w:t>Recover a brief visual attribute</w:t>
            </w:r>
          </w:p>
        </w:tc>
      </w:tr>
      <w:tr>
        <w:tc>
          <w:tcPr>
            <w:tcW w:type="dxa" w:w="1800"/>
            <w:tcMar>
              <w:top w:w="80" w:type="dxa"/>
              <w:start w:w="120" w:type="dxa"/>
              <w:bottom w:w="80" w:type="dxa"/>
              <w:end w:w="120" w:type="dxa"/>
            </w:tcMar>
            <w:vAlign w:val="center"/>
          </w:tcPr>
          <w:p>
            <w:pPr>
              <w:spacing w:after="0"/>
              <w:jc w:val="left"/>
            </w:pPr>
            <w:r>
              <w:rPr>
                <w:rFonts w:ascii="Calibri" w:hAnsi="Calibri"/>
                <w:b w:val="0"/>
                <w:i w:val="0"/>
                <w:color w:val="202124"/>
                <w:sz w:val="18"/>
              </w:rPr>
              <w:t>Temporal localization</w:t>
            </w:r>
          </w:p>
        </w:tc>
        <w:tc>
          <w:tcPr>
            <w:tcW w:type="dxa" w:w="2500"/>
            <w:tcMar>
              <w:top w:w="80" w:type="dxa"/>
              <w:start w:w="120" w:type="dxa"/>
              <w:bottom w:w="80" w:type="dxa"/>
              <w:end w:w="120" w:type="dxa"/>
            </w:tcMar>
            <w:vAlign w:val="center"/>
          </w:tcPr>
          <w:p>
            <w:pPr>
              <w:spacing w:after="0"/>
              <w:jc w:val="center"/>
            </w:pPr>
            <w:r>
              <w:rPr>
                <w:rFonts w:ascii="Calibri" w:hAnsi="Calibri"/>
                <w:b w:val="0"/>
                <w:i w:val="0"/>
                <w:color w:val="202124"/>
                <w:sz w:val="18"/>
              </w:rPr>
              <w:t>Needle timestamp</w:t>
            </w:r>
          </w:p>
        </w:tc>
        <w:tc>
          <w:tcPr>
            <w:tcW w:type="dxa" w:w="5060"/>
            <w:tcMar>
              <w:top w:w="80" w:type="dxa"/>
              <w:start w:w="120" w:type="dxa"/>
              <w:bottom w:w="80" w:type="dxa"/>
              <w:end w:w="120" w:type="dxa"/>
            </w:tcMar>
            <w:vAlign w:val="center"/>
          </w:tcPr>
          <w:p>
            <w:pPr>
              <w:spacing w:after="0"/>
              <w:jc w:val="left"/>
            </w:pPr>
            <w:r>
              <w:rPr>
                <w:rFonts w:ascii="Calibri" w:hAnsi="Calibri"/>
                <w:b w:val="0"/>
                <w:i w:val="0"/>
                <w:color w:val="202124"/>
                <w:sz w:val="18"/>
              </w:rPr>
              <w:t>Locate the same brief event in time</w:t>
            </w:r>
          </w:p>
        </w:tc>
      </w:tr>
    </w:tbl>
    <w:p>
      <w:pPr>
        <w:spacing w:after="20"/>
      </w:pPr>
    </w:p>
    <w:p>
      <w:pPr>
        <w:pStyle w:val="Heading2"/>
      </w:pPr>
      <w:r>
        <w:t>2.2 Scoring and interpretation</w:t>
      </w:r>
    </w:p>
    <w:p>
      <w:r>
        <w:t>Semantic scoring evaluated whether the answer conveyed the correct result. Strict scoring additionally required the requested machine-readable format. Completion and end-to-end semantic rates count timeouts and transport failures as unsuccessful attempts. Token and latency comparisons are conditioned on returned calls unless explicitly stated; paired estimates therefore have survivorship bias when completion differs by mode.</w:t>
      </w:r>
    </w:p>
    <w:p>
      <w:pPr>
        <w:pStyle w:val="Heading1"/>
      </w:pPr>
      <w:r>
        <w:t>3. Primary results</w:t>
      </w:r>
    </w:p>
    <w:tbl>
      <w:tblPr>
        <w:tblW w:type="dxa" w:w="9360"/>
        <w:tblLayout w:type="fixed"/>
        <w:tblLook w:firstColumn="1" w:firstRow="1" w:lastColumn="0" w:lastRow="0" w:noHBand="0" w:noVBand="1" w:val="04A0"/>
        <w:tblInd w:w="120" w:type="dxa"/>
      </w:tblPr>
      <w:tblGrid>
        <w:gridCol w:w="9360"/>
      </w:tblGrid>
      <w:tr>
        <w:tc>
          <w:tcPr>
            <w:tcW w:type="dxa" w:w="9360"/>
            <w:tcMar>
              <w:top w:w="140" w:type="dxa"/>
              <w:start w:w="160" w:type="dxa"/>
              <w:bottom w:w="140" w:type="dxa"/>
              <w:end w:w="160" w:type="dxa"/>
            </w:tcMar>
            <w:vAlign w:val="center"/>
            <w:shd w:fill="E8F0FE"/>
          </w:tcPr>
          <w:p>
            <w:pPr>
              <w:spacing w:after="0"/>
            </w:pPr>
            <w:r>
              <w:rPr>
                <w:rFonts w:ascii="Calibri" w:hAnsi="Calibri"/>
                <w:b/>
                <w:i w:val="0"/>
                <w:color w:val="1F4D78"/>
                <w:sz w:val="22"/>
              </w:rPr>
              <w:t xml:space="preserve">Headline. </w:t>
            </w:r>
            <w:r>
              <w:rPr>
                <w:rFonts w:ascii="Calibri" w:hAnsi="Calibri"/>
                <w:b w:val="0"/>
                <w:i w:val="0"/>
                <w:color w:val="202124"/>
                <w:sz w:val="22"/>
              </w:rPr>
              <w:t>Under the 180-second SLA, static completed 12/18 attempts (66.7%) and agentic completed 6/18 (33.3%). Every completed answer was semantically correct, so the main aggregate difference was reliability rather than conditional answer quality.</w:t>
            </w:r>
          </w:p>
        </w:tc>
      </w:tr>
    </w:tbl>
    <w:p>
      <w:pPr>
        <w:spacing w:after="20"/>
      </w:pPr>
    </w:p>
    <w:tbl>
      <w:tblPr>
        <w:tblStyle w:val="TableGrid"/>
        <w:tblW w:type="dxa" w:w="9360"/>
        <w:tblLayout w:type="fixed"/>
        <w:tblLook w:firstColumn="1" w:firstRow="1" w:lastColumn="0" w:lastRow="0" w:noHBand="0" w:noVBand="1" w:val="04A0"/>
        <w:tblInd w:w="120" w:type="dxa"/>
      </w:tblPr>
      <w:tblGrid>
        <w:gridCol w:w="2400"/>
        <w:gridCol w:w="1400"/>
        <w:gridCol w:w="1500"/>
        <w:gridCol w:w="4060"/>
      </w:tblGrid>
      <w:tr>
        <w:trPr>
          <w:tblHeader w:val="true"/>
        </w:trPr>
        <w:tc>
          <w:tcPr>
            <w:tcW w:type="dxa" w:w="2400"/>
            <w:tcMar>
              <w:top w:w="80" w:type="dxa"/>
              <w:start w:w="120" w:type="dxa"/>
              <w:bottom w:w="80" w:type="dxa"/>
              <w:end w:w="120" w:type="dxa"/>
            </w:tcMar>
            <w:vAlign w:val="center"/>
            <w:shd w:fill="F2F4F7"/>
          </w:tcPr>
          <w:p>
            <w:pPr>
              <w:spacing w:after="0"/>
            </w:pPr>
            <w:r>
              <w:rPr>
                <w:rFonts w:ascii="Calibri" w:hAnsi="Calibri"/>
                <w:b/>
                <w:i w:val="0"/>
                <w:color w:val="1F4D78"/>
                <w:sz w:val="17"/>
              </w:rPr>
              <w:t>Task</w:t>
            </w:r>
          </w:p>
        </w:tc>
        <w:tc>
          <w:tcPr>
            <w:tcW w:type="dxa" w:w="1400"/>
            <w:tcMar>
              <w:top w:w="80" w:type="dxa"/>
              <w:start w:w="120" w:type="dxa"/>
              <w:bottom w:w="80" w:type="dxa"/>
              <w:end w:w="120" w:type="dxa"/>
            </w:tcMar>
            <w:vAlign w:val="center"/>
            <w:shd w:fill="F2F4F7"/>
          </w:tcPr>
          <w:p>
            <w:pPr>
              <w:spacing w:after="0"/>
            </w:pPr>
            <w:r>
              <w:rPr>
                <w:rFonts w:ascii="Calibri" w:hAnsi="Calibri"/>
                <w:b/>
                <w:i w:val="0"/>
                <w:color w:val="1F4D78"/>
                <w:sz w:val="17"/>
              </w:rPr>
              <w:t>Static semantic</w:t>
            </w:r>
          </w:p>
        </w:tc>
        <w:tc>
          <w:tcPr>
            <w:tcW w:type="dxa" w:w="1500"/>
            <w:tcMar>
              <w:top w:w="80" w:type="dxa"/>
              <w:start w:w="120" w:type="dxa"/>
              <w:bottom w:w="80" w:type="dxa"/>
              <w:end w:w="120" w:type="dxa"/>
            </w:tcMar>
            <w:vAlign w:val="center"/>
            <w:shd w:fill="F2F4F7"/>
          </w:tcPr>
          <w:p>
            <w:pPr>
              <w:spacing w:after="0"/>
            </w:pPr>
            <w:r>
              <w:rPr>
                <w:rFonts w:ascii="Calibri" w:hAnsi="Calibri"/>
                <w:b/>
                <w:i w:val="0"/>
                <w:color w:val="1F4D78"/>
                <w:sz w:val="17"/>
              </w:rPr>
              <w:t>Agentic semantic</w:t>
            </w:r>
          </w:p>
        </w:tc>
        <w:tc>
          <w:tcPr>
            <w:tcW w:type="dxa" w:w="4060"/>
            <w:tcMar>
              <w:top w:w="80" w:type="dxa"/>
              <w:start w:w="120" w:type="dxa"/>
              <w:bottom w:w="80" w:type="dxa"/>
              <w:end w:w="120" w:type="dxa"/>
            </w:tcMar>
            <w:vAlign w:val="center"/>
            <w:shd w:fill="F2F4F7"/>
          </w:tcPr>
          <w:p>
            <w:pPr>
              <w:spacing w:after="0"/>
            </w:pPr>
            <w:r>
              <w:rPr>
                <w:rFonts w:ascii="Calibri" w:hAnsi="Calibri"/>
                <w:b/>
                <w:i w:val="0"/>
                <w:color w:val="1F4D78"/>
                <w:sz w:val="17"/>
              </w:rPr>
              <w:t>Key result</w:t>
            </w:r>
          </w:p>
        </w:tc>
      </w:tr>
      <w:tr>
        <w:tc>
          <w:tcPr>
            <w:tcW w:type="dxa" w:w="2400"/>
            <w:tcMar>
              <w:top w:w="80" w:type="dxa"/>
              <w:start w:w="120" w:type="dxa"/>
              <w:bottom w:w="80" w:type="dxa"/>
              <w:end w:w="120" w:type="dxa"/>
            </w:tcMar>
            <w:vAlign w:val="center"/>
          </w:tcPr>
          <w:p>
            <w:pPr>
              <w:spacing w:after="0"/>
              <w:jc w:val="left"/>
            </w:pPr>
            <w:r>
              <w:rPr>
                <w:rFonts w:ascii="Calibri" w:hAnsi="Calibri"/>
                <w:b w:val="0"/>
                <w:i w:val="0"/>
                <w:color w:val="202124"/>
                <w:sz w:val="17"/>
              </w:rPr>
              <w:t>Rapid crossing order</w:t>
            </w:r>
          </w:p>
        </w:tc>
        <w:tc>
          <w:tcPr>
            <w:tcW w:type="dxa" w:w="1400"/>
            <w:tcMar>
              <w:top w:w="80" w:type="dxa"/>
              <w:start w:w="120" w:type="dxa"/>
              <w:bottom w:w="80" w:type="dxa"/>
              <w:end w:w="120" w:type="dxa"/>
            </w:tcMar>
            <w:vAlign w:val="center"/>
          </w:tcPr>
          <w:p>
            <w:pPr>
              <w:spacing w:after="0"/>
              <w:jc w:val="center"/>
            </w:pPr>
            <w:r>
              <w:rPr>
                <w:rFonts w:ascii="Calibri" w:hAnsi="Calibri"/>
                <w:b w:val="0"/>
                <w:i w:val="0"/>
                <w:color w:val="202124"/>
                <w:sz w:val="17"/>
              </w:rPr>
              <w:t>0/3</w:t>
            </w:r>
          </w:p>
        </w:tc>
        <w:tc>
          <w:tcPr>
            <w:tcW w:type="dxa" w:w="1500"/>
            <w:tcMar>
              <w:top w:w="80" w:type="dxa"/>
              <w:start w:w="120" w:type="dxa"/>
              <w:bottom w:w="80" w:type="dxa"/>
              <w:end w:w="120" w:type="dxa"/>
            </w:tcMar>
            <w:vAlign w:val="center"/>
          </w:tcPr>
          <w:p>
            <w:pPr>
              <w:spacing w:after="0"/>
              <w:jc w:val="center"/>
            </w:pPr>
            <w:r>
              <w:rPr>
                <w:rFonts w:ascii="Calibri" w:hAnsi="Calibri"/>
                <w:b w:val="0"/>
                <w:i w:val="0"/>
                <w:color w:val="202124"/>
                <w:sz w:val="17"/>
              </w:rPr>
              <w:t>3/3</w:t>
            </w:r>
          </w:p>
        </w:tc>
        <w:tc>
          <w:tcPr>
            <w:tcW w:type="dxa" w:w="4060"/>
            <w:tcMar>
              <w:top w:w="80" w:type="dxa"/>
              <w:start w:w="120" w:type="dxa"/>
              <w:bottom w:w="80" w:type="dxa"/>
              <w:end w:w="120" w:type="dxa"/>
            </w:tcMar>
            <w:vAlign w:val="center"/>
          </w:tcPr>
          <w:p>
            <w:pPr>
              <w:spacing w:after="0"/>
              <w:jc w:val="left"/>
            </w:pPr>
            <w:r>
              <w:rPr>
                <w:rFonts w:ascii="Calibri" w:hAnsi="Calibri"/>
                <w:b w:val="0"/>
                <w:i w:val="0"/>
                <w:color w:val="202124"/>
                <w:sz w:val="17"/>
              </w:rPr>
              <w:t>Agentic capability win; static timed out</w:t>
            </w:r>
          </w:p>
        </w:tc>
      </w:tr>
      <w:tr>
        <w:tc>
          <w:tcPr>
            <w:tcW w:type="dxa" w:w="2400"/>
            <w:tcMar>
              <w:top w:w="80" w:type="dxa"/>
              <w:start w:w="120" w:type="dxa"/>
              <w:bottom w:w="80" w:type="dxa"/>
              <w:end w:w="120" w:type="dxa"/>
            </w:tcMar>
            <w:vAlign w:val="center"/>
          </w:tcPr>
          <w:p>
            <w:pPr>
              <w:spacing w:after="0"/>
              <w:jc w:val="left"/>
            </w:pPr>
            <w:r>
              <w:rPr>
                <w:rFonts w:ascii="Calibri" w:hAnsi="Calibri"/>
                <w:b w:val="0"/>
                <w:i w:val="0"/>
                <w:color w:val="202124"/>
                <w:sz w:val="17"/>
              </w:rPr>
              <w:t>Feint negative</w:t>
            </w:r>
          </w:p>
        </w:tc>
        <w:tc>
          <w:tcPr>
            <w:tcW w:type="dxa" w:w="1400"/>
            <w:tcMar>
              <w:top w:w="80" w:type="dxa"/>
              <w:start w:w="120" w:type="dxa"/>
              <w:bottom w:w="80" w:type="dxa"/>
              <w:end w:w="120" w:type="dxa"/>
            </w:tcMar>
            <w:vAlign w:val="center"/>
          </w:tcPr>
          <w:p>
            <w:pPr>
              <w:spacing w:after="0"/>
              <w:jc w:val="center"/>
            </w:pPr>
            <w:r>
              <w:rPr>
                <w:rFonts w:ascii="Calibri" w:hAnsi="Calibri"/>
                <w:b w:val="0"/>
                <w:i w:val="0"/>
                <w:color w:val="202124"/>
                <w:sz w:val="17"/>
              </w:rPr>
              <w:t>3/3</w:t>
            </w:r>
          </w:p>
        </w:tc>
        <w:tc>
          <w:tcPr>
            <w:tcW w:type="dxa" w:w="1500"/>
            <w:tcMar>
              <w:top w:w="80" w:type="dxa"/>
              <w:start w:w="120" w:type="dxa"/>
              <w:bottom w:w="80" w:type="dxa"/>
              <w:end w:w="120" w:type="dxa"/>
            </w:tcMar>
            <w:vAlign w:val="center"/>
          </w:tcPr>
          <w:p>
            <w:pPr>
              <w:spacing w:after="0"/>
              <w:jc w:val="center"/>
            </w:pPr>
            <w:r>
              <w:rPr>
                <w:rFonts w:ascii="Calibri" w:hAnsi="Calibri"/>
                <w:b w:val="0"/>
                <w:i w:val="0"/>
                <w:color w:val="202124"/>
                <w:sz w:val="17"/>
              </w:rPr>
              <w:t>2/3</w:t>
            </w:r>
          </w:p>
        </w:tc>
        <w:tc>
          <w:tcPr>
            <w:tcW w:type="dxa" w:w="4060"/>
            <w:tcMar>
              <w:top w:w="80" w:type="dxa"/>
              <w:start w:w="120" w:type="dxa"/>
              <w:bottom w:w="80" w:type="dxa"/>
              <w:end w:w="120" w:type="dxa"/>
            </w:tcMar>
            <w:vAlign w:val="center"/>
          </w:tcPr>
          <w:p>
            <w:pPr>
              <w:spacing w:after="0"/>
              <w:jc w:val="left"/>
            </w:pPr>
            <w:r>
              <w:rPr>
                <w:rFonts w:ascii="Calibri" w:hAnsi="Calibri"/>
                <w:b w:val="0"/>
                <w:i w:val="0"/>
                <w:color w:val="202124"/>
                <w:sz w:val="17"/>
              </w:rPr>
              <w:t>One agentic transport error</w:t>
            </w:r>
          </w:p>
        </w:tc>
      </w:tr>
      <w:tr>
        <w:tc>
          <w:tcPr>
            <w:tcW w:type="dxa" w:w="2400"/>
            <w:tcMar>
              <w:top w:w="80" w:type="dxa"/>
              <w:start w:w="120" w:type="dxa"/>
              <w:bottom w:w="80" w:type="dxa"/>
              <w:end w:w="120" w:type="dxa"/>
            </w:tcMar>
            <w:vAlign w:val="center"/>
          </w:tcPr>
          <w:p>
            <w:pPr>
              <w:spacing w:after="0"/>
              <w:jc w:val="left"/>
            </w:pPr>
            <w:r>
              <w:rPr>
                <w:rFonts w:ascii="Calibri" w:hAnsi="Calibri"/>
                <w:b w:val="0"/>
                <w:i w:val="0"/>
                <w:color w:val="202124"/>
                <w:sz w:val="17"/>
              </w:rPr>
              <w:t>Red-swallow count</w:t>
            </w:r>
          </w:p>
        </w:tc>
        <w:tc>
          <w:tcPr>
            <w:tcW w:type="dxa" w:w="1400"/>
            <w:tcMar>
              <w:top w:w="80" w:type="dxa"/>
              <w:start w:w="120" w:type="dxa"/>
              <w:bottom w:w="80" w:type="dxa"/>
              <w:end w:w="120" w:type="dxa"/>
            </w:tcMar>
            <w:vAlign w:val="center"/>
          </w:tcPr>
          <w:p>
            <w:pPr>
              <w:spacing w:after="0"/>
              <w:jc w:val="center"/>
            </w:pPr>
            <w:r>
              <w:rPr>
                <w:rFonts w:ascii="Calibri" w:hAnsi="Calibri"/>
                <w:b w:val="0"/>
                <w:i w:val="0"/>
                <w:color w:val="202124"/>
                <w:sz w:val="17"/>
              </w:rPr>
              <w:t>3/3</w:t>
            </w:r>
          </w:p>
        </w:tc>
        <w:tc>
          <w:tcPr>
            <w:tcW w:type="dxa" w:w="1500"/>
            <w:tcMar>
              <w:top w:w="80" w:type="dxa"/>
              <w:start w:w="120" w:type="dxa"/>
              <w:bottom w:w="80" w:type="dxa"/>
              <w:end w:w="120" w:type="dxa"/>
            </w:tcMar>
            <w:vAlign w:val="center"/>
          </w:tcPr>
          <w:p>
            <w:pPr>
              <w:spacing w:after="0"/>
              <w:jc w:val="center"/>
            </w:pPr>
            <w:r>
              <w:rPr>
                <w:rFonts w:ascii="Calibri" w:hAnsi="Calibri"/>
                <w:b w:val="0"/>
                <w:i w:val="0"/>
                <w:color w:val="202124"/>
                <w:sz w:val="17"/>
              </w:rPr>
              <w:t>0/3</w:t>
            </w:r>
          </w:p>
        </w:tc>
        <w:tc>
          <w:tcPr>
            <w:tcW w:type="dxa" w:w="4060"/>
            <w:tcMar>
              <w:top w:w="80" w:type="dxa"/>
              <w:start w:w="120" w:type="dxa"/>
              <w:bottom w:w="80" w:type="dxa"/>
              <w:end w:w="120" w:type="dxa"/>
            </w:tcMar>
            <w:vAlign w:val="center"/>
          </w:tcPr>
          <w:p>
            <w:pPr>
              <w:spacing w:after="0"/>
              <w:jc w:val="left"/>
            </w:pPr>
            <w:r>
              <w:rPr>
                <w:rFonts w:ascii="Calibri" w:hAnsi="Calibri"/>
                <w:b w:val="0"/>
                <w:i w:val="0"/>
                <w:color w:val="202124"/>
                <w:sz w:val="17"/>
              </w:rPr>
              <w:t>All agentic calls timed out</w:t>
            </w:r>
          </w:p>
        </w:tc>
      </w:tr>
      <w:tr>
        <w:tc>
          <w:tcPr>
            <w:tcW w:type="dxa" w:w="2400"/>
            <w:tcMar>
              <w:top w:w="80" w:type="dxa"/>
              <w:start w:w="120" w:type="dxa"/>
              <w:bottom w:w="80" w:type="dxa"/>
              <w:end w:w="120" w:type="dxa"/>
            </w:tcMar>
            <w:vAlign w:val="center"/>
          </w:tcPr>
          <w:p>
            <w:pPr>
              <w:spacing w:after="0"/>
              <w:jc w:val="left"/>
            </w:pPr>
            <w:r>
              <w:rPr>
                <w:rFonts w:ascii="Calibri" w:hAnsi="Calibri"/>
                <w:b w:val="0"/>
                <w:i w:val="0"/>
                <w:color w:val="202124"/>
                <w:sz w:val="17"/>
              </w:rPr>
              <w:t>Completed-action ledger</w:t>
            </w:r>
          </w:p>
        </w:tc>
        <w:tc>
          <w:tcPr>
            <w:tcW w:type="dxa" w:w="1400"/>
            <w:tcMar>
              <w:top w:w="80" w:type="dxa"/>
              <w:start w:w="120" w:type="dxa"/>
              <w:bottom w:w="80" w:type="dxa"/>
              <w:end w:w="120" w:type="dxa"/>
            </w:tcMar>
            <w:vAlign w:val="center"/>
          </w:tcPr>
          <w:p>
            <w:pPr>
              <w:spacing w:after="0"/>
              <w:jc w:val="center"/>
            </w:pPr>
            <w:r>
              <w:rPr>
                <w:rFonts w:ascii="Calibri" w:hAnsi="Calibri"/>
                <w:b w:val="0"/>
                <w:i w:val="0"/>
                <w:color w:val="202124"/>
                <w:sz w:val="17"/>
              </w:rPr>
              <w:t>0/3</w:t>
            </w:r>
          </w:p>
        </w:tc>
        <w:tc>
          <w:tcPr>
            <w:tcW w:type="dxa" w:w="1500"/>
            <w:tcMar>
              <w:top w:w="80" w:type="dxa"/>
              <w:start w:w="120" w:type="dxa"/>
              <w:bottom w:w="80" w:type="dxa"/>
              <w:end w:w="120" w:type="dxa"/>
            </w:tcMar>
            <w:vAlign w:val="center"/>
          </w:tcPr>
          <w:p>
            <w:pPr>
              <w:spacing w:after="0"/>
              <w:jc w:val="center"/>
            </w:pPr>
            <w:r>
              <w:rPr>
                <w:rFonts w:ascii="Calibri" w:hAnsi="Calibri"/>
                <w:b w:val="0"/>
                <w:i w:val="0"/>
                <w:color w:val="202124"/>
                <w:sz w:val="17"/>
              </w:rPr>
              <w:t>0/3</w:t>
            </w:r>
          </w:p>
        </w:tc>
        <w:tc>
          <w:tcPr>
            <w:tcW w:type="dxa" w:w="4060"/>
            <w:tcMar>
              <w:top w:w="80" w:type="dxa"/>
              <w:start w:w="120" w:type="dxa"/>
              <w:bottom w:w="80" w:type="dxa"/>
              <w:end w:w="120" w:type="dxa"/>
            </w:tcMar>
            <w:vAlign w:val="center"/>
          </w:tcPr>
          <w:p>
            <w:pPr>
              <w:spacing w:after="0"/>
              <w:jc w:val="left"/>
            </w:pPr>
            <w:r>
              <w:rPr>
                <w:rFonts w:ascii="Calibri" w:hAnsi="Calibri"/>
                <w:b w:val="0"/>
                <w:i w:val="0"/>
                <w:color w:val="202124"/>
                <w:sz w:val="17"/>
              </w:rPr>
              <w:t>Both modes timed out</w:t>
            </w:r>
          </w:p>
        </w:tc>
      </w:tr>
      <w:tr>
        <w:tc>
          <w:tcPr>
            <w:tcW w:type="dxa" w:w="2400"/>
            <w:tcMar>
              <w:top w:w="80" w:type="dxa"/>
              <w:start w:w="120" w:type="dxa"/>
              <w:bottom w:w="80" w:type="dxa"/>
              <w:end w:w="120" w:type="dxa"/>
            </w:tcMar>
            <w:vAlign w:val="center"/>
          </w:tcPr>
          <w:p>
            <w:pPr>
              <w:spacing w:after="0"/>
              <w:jc w:val="left"/>
            </w:pPr>
            <w:r>
              <w:rPr>
                <w:rFonts w:ascii="Calibri" w:hAnsi="Calibri"/>
                <w:b w:val="0"/>
                <w:i w:val="0"/>
                <w:color w:val="202124"/>
                <w:sz w:val="17"/>
              </w:rPr>
              <w:t>Needle color</w:t>
            </w:r>
          </w:p>
        </w:tc>
        <w:tc>
          <w:tcPr>
            <w:tcW w:type="dxa" w:w="1400"/>
            <w:tcMar>
              <w:top w:w="80" w:type="dxa"/>
              <w:start w:w="120" w:type="dxa"/>
              <w:bottom w:w="80" w:type="dxa"/>
              <w:end w:w="120" w:type="dxa"/>
            </w:tcMar>
            <w:vAlign w:val="center"/>
          </w:tcPr>
          <w:p>
            <w:pPr>
              <w:spacing w:after="0"/>
              <w:jc w:val="center"/>
            </w:pPr>
            <w:r>
              <w:rPr>
                <w:rFonts w:ascii="Calibri" w:hAnsi="Calibri"/>
                <w:b w:val="0"/>
                <w:i w:val="0"/>
                <w:color w:val="202124"/>
                <w:sz w:val="17"/>
              </w:rPr>
              <w:t>3/3</w:t>
            </w:r>
          </w:p>
        </w:tc>
        <w:tc>
          <w:tcPr>
            <w:tcW w:type="dxa" w:w="1500"/>
            <w:tcMar>
              <w:top w:w="80" w:type="dxa"/>
              <w:start w:w="120" w:type="dxa"/>
              <w:bottom w:w="80" w:type="dxa"/>
              <w:end w:w="120" w:type="dxa"/>
            </w:tcMar>
            <w:vAlign w:val="center"/>
          </w:tcPr>
          <w:p>
            <w:pPr>
              <w:spacing w:after="0"/>
              <w:jc w:val="center"/>
            </w:pPr>
            <w:r>
              <w:rPr>
                <w:rFonts w:ascii="Calibri" w:hAnsi="Calibri"/>
                <w:b w:val="0"/>
                <w:i w:val="0"/>
                <w:color w:val="202124"/>
                <w:sz w:val="17"/>
              </w:rPr>
              <w:t>0/3</w:t>
            </w:r>
          </w:p>
        </w:tc>
        <w:tc>
          <w:tcPr>
            <w:tcW w:type="dxa" w:w="4060"/>
            <w:tcMar>
              <w:top w:w="80" w:type="dxa"/>
              <w:start w:w="120" w:type="dxa"/>
              <w:bottom w:w="80" w:type="dxa"/>
              <w:end w:w="120" w:type="dxa"/>
            </w:tcMar>
            <w:vAlign w:val="center"/>
          </w:tcPr>
          <w:p>
            <w:pPr>
              <w:spacing w:after="0"/>
              <w:jc w:val="left"/>
            </w:pPr>
            <w:r>
              <w:rPr>
                <w:rFonts w:ascii="Calibri" w:hAnsi="Calibri"/>
                <w:b w:val="0"/>
                <w:i w:val="0"/>
                <w:color w:val="202124"/>
                <w:sz w:val="17"/>
              </w:rPr>
              <w:t>Persistent agentic difficulty</w:t>
            </w:r>
          </w:p>
        </w:tc>
      </w:tr>
      <w:tr>
        <w:tc>
          <w:tcPr>
            <w:tcW w:type="dxa" w:w="2400"/>
            <w:tcMar>
              <w:top w:w="80" w:type="dxa"/>
              <w:start w:w="120" w:type="dxa"/>
              <w:bottom w:w="80" w:type="dxa"/>
              <w:end w:w="120" w:type="dxa"/>
            </w:tcMar>
            <w:vAlign w:val="center"/>
          </w:tcPr>
          <w:p>
            <w:pPr>
              <w:spacing w:after="0"/>
              <w:jc w:val="left"/>
            </w:pPr>
            <w:r>
              <w:rPr>
                <w:rFonts w:ascii="Calibri" w:hAnsi="Calibri"/>
                <w:b w:val="0"/>
                <w:i w:val="0"/>
                <w:color w:val="202124"/>
                <w:sz w:val="17"/>
              </w:rPr>
              <w:t>Needle timestamp</w:t>
            </w:r>
          </w:p>
        </w:tc>
        <w:tc>
          <w:tcPr>
            <w:tcW w:type="dxa" w:w="1400"/>
            <w:tcMar>
              <w:top w:w="80" w:type="dxa"/>
              <w:start w:w="120" w:type="dxa"/>
              <w:bottom w:w="80" w:type="dxa"/>
              <w:end w:w="120" w:type="dxa"/>
            </w:tcMar>
            <w:vAlign w:val="center"/>
          </w:tcPr>
          <w:p>
            <w:pPr>
              <w:spacing w:after="0"/>
              <w:jc w:val="center"/>
            </w:pPr>
            <w:r>
              <w:rPr>
                <w:rFonts w:ascii="Calibri" w:hAnsi="Calibri"/>
                <w:b w:val="0"/>
                <w:i w:val="0"/>
                <w:color w:val="202124"/>
                <w:sz w:val="17"/>
              </w:rPr>
              <w:t>3/3</w:t>
            </w:r>
          </w:p>
        </w:tc>
        <w:tc>
          <w:tcPr>
            <w:tcW w:type="dxa" w:w="1500"/>
            <w:tcMar>
              <w:top w:w="80" w:type="dxa"/>
              <w:start w:w="120" w:type="dxa"/>
              <w:bottom w:w="80" w:type="dxa"/>
              <w:end w:w="120" w:type="dxa"/>
            </w:tcMar>
            <w:vAlign w:val="center"/>
          </w:tcPr>
          <w:p>
            <w:pPr>
              <w:spacing w:after="0"/>
              <w:jc w:val="center"/>
            </w:pPr>
            <w:r>
              <w:rPr>
                <w:rFonts w:ascii="Calibri" w:hAnsi="Calibri"/>
                <w:b w:val="0"/>
                <w:i w:val="0"/>
                <w:color w:val="202124"/>
                <w:sz w:val="17"/>
              </w:rPr>
              <w:t>1/3</w:t>
            </w:r>
          </w:p>
        </w:tc>
        <w:tc>
          <w:tcPr>
            <w:tcW w:type="dxa" w:w="4060"/>
            <w:tcMar>
              <w:top w:w="80" w:type="dxa"/>
              <w:start w:w="120" w:type="dxa"/>
              <w:bottom w:w="80" w:type="dxa"/>
              <w:end w:w="120" w:type="dxa"/>
            </w:tcMar>
            <w:vAlign w:val="center"/>
          </w:tcPr>
          <w:p>
            <w:pPr>
              <w:spacing w:after="0"/>
              <w:jc w:val="left"/>
            </w:pPr>
            <w:r>
              <w:rPr>
                <w:rFonts w:ascii="Calibri" w:hAnsi="Calibri"/>
                <w:b w:val="0"/>
                <w:i w:val="0"/>
                <w:color w:val="202124"/>
                <w:sz w:val="17"/>
              </w:rPr>
              <w:t>One efficient agentic success</w:t>
            </w:r>
          </w:p>
        </w:tc>
      </w:tr>
    </w:tbl>
    <w:p>
      <w:pPr>
        <w:spacing w:after="20"/>
      </w:pPr>
    </w:p>
    <w:p>
      <w:pPr>
        <w:pStyle w:val="Heading2"/>
      </w:pPr>
      <w:r>
        <w:t>3.1 Completed-pair efficiency</w:t>
      </w:r>
    </w:p>
    <w:p>
      <w:r>
        <w:t>Only three static-agentic pairs completed in both modes. Within this survivorship-selected subset, semantic quality was equal, while agentic processing reduced input tokens by 57.5% and total tokens by 54.1%, but increased provider inference latency by 43.7%.</w:t>
      </w:r>
    </w:p>
    <w:tbl>
      <w:tblPr>
        <w:tblStyle w:val="TableGrid"/>
        <w:tblW w:type="dxa" w:w="9360"/>
        <w:tblLayout w:type="fixed"/>
        <w:tblLook w:firstColumn="1" w:firstRow="1" w:lastColumn="0" w:lastRow="0" w:noHBand="0" w:noVBand="1" w:val="04A0"/>
        <w:tblInd w:w="120" w:type="dxa"/>
      </w:tblPr>
      <w:tblGrid>
        <w:gridCol w:w="3300"/>
        <w:gridCol w:w="1900"/>
        <w:gridCol w:w="1900"/>
        <w:gridCol w:w="2260"/>
      </w:tblGrid>
      <w:tr>
        <w:trPr>
          <w:tblHeader w:val="true"/>
        </w:trPr>
        <w:tc>
          <w:tcPr>
            <w:tcW w:type="dxa" w:w="3300"/>
            <w:tcMar>
              <w:top w:w="80" w:type="dxa"/>
              <w:start w:w="120" w:type="dxa"/>
              <w:bottom w:w="80" w:type="dxa"/>
              <w:end w:w="120" w:type="dxa"/>
            </w:tcMar>
            <w:vAlign w:val="center"/>
            <w:shd w:fill="F2F4F7"/>
          </w:tcPr>
          <w:p>
            <w:pPr>
              <w:spacing w:after="0"/>
            </w:pPr>
            <w:r>
              <w:rPr>
                <w:rFonts w:ascii="Calibri" w:hAnsi="Calibri"/>
                <w:b/>
                <w:i w:val="0"/>
                <w:color w:val="1F4D78"/>
                <w:sz w:val="18"/>
              </w:rPr>
              <w:t>Metric</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1F4D78"/>
                <w:sz w:val="18"/>
              </w:rPr>
              <w:t>Static mean</w:t>
            </w:r>
          </w:p>
        </w:tc>
        <w:tc>
          <w:tcPr>
            <w:tcW w:type="dxa" w:w="1900"/>
            <w:tcMar>
              <w:top w:w="80" w:type="dxa"/>
              <w:start w:w="120" w:type="dxa"/>
              <w:bottom w:w="80" w:type="dxa"/>
              <w:end w:w="120" w:type="dxa"/>
            </w:tcMar>
            <w:vAlign w:val="center"/>
            <w:shd w:fill="F2F4F7"/>
          </w:tcPr>
          <w:p>
            <w:pPr>
              <w:spacing w:after="0"/>
            </w:pPr>
            <w:r>
              <w:rPr>
                <w:rFonts w:ascii="Calibri" w:hAnsi="Calibri"/>
                <w:b/>
                <w:i w:val="0"/>
                <w:color w:val="1F4D78"/>
                <w:sz w:val="18"/>
              </w:rPr>
              <w:t>Agentic mean</w:t>
            </w:r>
          </w:p>
        </w:tc>
        <w:tc>
          <w:tcPr>
            <w:tcW w:type="dxa" w:w="2260"/>
            <w:tcMar>
              <w:top w:w="80" w:type="dxa"/>
              <w:start w:w="120" w:type="dxa"/>
              <w:bottom w:w="80" w:type="dxa"/>
              <w:end w:w="120" w:type="dxa"/>
            </w:tcMar>
            <w:vAlign w:val="center"/>
            <w:shd w:fill="F2F4F7"/>
          </w:tcPr>
          <w:p>
            <w:pPr>
              <w:spacing w:after="0"/>
            </w:pPr>
            <w:r>
              <w:rPr>
                <w:rFonts w:ascii="Calibri" w:hAnsi="Calibri"/>
                <w:b/>
                <w:i w:val="0"/>
                <w:color w:val="1F4D78"/>
                <w:sz w:val="18"/>
              </w:rPr>
              <w:t>Agentic change</w:t>
            </w:r>
          </w:p>
        </w:tc>
      </w:tr>
      <w:tr>
        <w:tc>
          <w:tcPr>
            <w:tcW w:type="dxa" w:w="3300"/>
            <w:tcMar>
              <w:top w:w="80" w:type="dxa"/>
              <w:start w:w="120" w:type="dxa"/>
              <w:bottom w:w="80" w:type="dxa"/>
              <w:end w:w="120" w:type="dxa"/>
            </w:tcMar>
            <w:vAlign w:val="center"/>
          </w:tcPr>
          <w:p>
            <w:pPr>
              <w:spacing w:after="0"/>
              <w:jc w:val="left"/>
            </w:pPr>
            <w:r>
              <w:rPr>
                <w:rFonts w:ascii="Calibri" w:hAnsi="Calibri"/>
                <w:b w:val="0"/>
                <w:i w:val="0"/>
                <w:color w:val="202124"/>
                <w:sz w:val="18"/>
              </w:rPr>
              <w:t>Semantic score</w:t>
            </w:r>
          </w:p>
        </w:tc>
        <w:tc>
          <w:tcPr>
            <w:tcW w:type="dxa" w:w="1900"/>
            <w:tcMar>
              <w:top w:w="80" w:type="dxa"/>
              <w:start w:w="120" w:type="dxa"/>
              <w:bottom w:w="80" w:type="dxa"/>
              <w:end w:w="120" w:type="dxa"/>
            </w:tcMar>
            <w:vAlign w:val="center"/>
          </w:tcPr>
          <w:p>
            <w:pPr>
              <w:spacing w:after="0"/>
              <w:jc w:val="center"/>
            </w:pPr>
            <w:r>
              <w:rPr>
                <w:rFonts w:ascii="Calibri" w:hAnsi="Calibri"/>
                <w:b w:val="0"/>
                <w:i w:val="0"/>
                <w:color w:val="202124"/>
                <w:sz w:val="18"/>
              </w:rPr>
              <w:t>1.000</w:t>
            </w:r>
          </w:p>
        </w:tc>
        <w:tc>
          <w:tcPr>
            <w:tcW w:type="dxa" w:w="1900"/>
            <w:tcMar>
              <w:top w:w="80" w:type="dxa"/>
              <w:start w:w="120" w:type="dxa"/>
              <w:bottom w:w="80" w:type="dxa"/>
              <w:end w:w="120" w:type="dxa"/>
            </w:tcMar>
            <w:vAlign w:val="center"/>
          </w:tcPr>
          <w:p>
            <w:pPr>
              <w:spacing w:after="0"/>
              <w:jc w:val="center"/>
            </w:pPr>
            <w:r>
              <w:rPr>
                <w:rFonts w:ascii="Calibri" w:hAnsi="Calibri"/>
                <w:b w:val="0"/>
                <w:i w:val="0"/>
                <w:color w:val="202124"/>
                <w:sz w:val="18"/>
              </w:rPr>
              <w:t>1.000</w:t>
            </w:r>
          </w:p>
        </w:tc>
        <w:tc>
          <w:tcPr>
            <w:tcW w:type="dxa" w:w="2260"/>
            <w:tcMar>
              <w:top w:w="80" w:type="dxa"/>
              <w:start w:w="120" w:type="dxa"/>
              <w:bottom w:w="80" w:type="dxa"/>
              <w:end w:w="120" w:type="dxa"/>
            </w:tcMar>
            <w:vAlign w:val="center"/>
          </w:tcPr>
          <w:p>
            <w:pPr>
              <w:spacing w:after="0"/>
              <w:jc w:val="center"/>
            </w:pPr>
            <w:r>
              <w:rPr>
                <w:rFonts w:ascii="Calibri" w:hAnsi="Calibri"/>
                <w:b w:val="0"/>
                <w:i w:val="0"/>
                <w:color w:val="202124"/>
                <w:sz w:val="18"/>
              </w:rPr>
              <w:t>0.0%</w:t>
            </w:r>
          </w:p>
        </w:tc>
      </w:tr>
      <w:tr>
        <w:tc>
          <w:tcPr>
            <w:tcW w:type="dxa" w:w="3300"/>
            <w:tcMar>
              <w:top w:w="80" w:type="dxa"/>
              <w:start w:w="120" w:type="dxa"/>
              <w:bottom w:w="80" w:type="dxa"/>
              <w:end w:w="120" w:type="dxa"/>
            </w:tcMar>
            <w:vAlign w:val="center"/>
          </w:tcPr>
          <w:p>
            <w:pPr>
              <w:spacing w:after="0"/>
              <w:jc w:val="left"/>
            </w:pPr>
            <w:r>
              <w:rPr>
                <w:rFonts w:ascii="Calibri" w:hAnsi="Calibri"/>
                <w:b w:val="0"/>
                <w:i w:val="0"/>
                <w:color w:val="202124"/>
                <w:sz w:val="18"/>
              </w:rPr>
              <w:t>Input tokens</w:t>
            </w:r>
          </w:p>
        </w:tc>
        <w:tc>
          <w:tcPr>
            <w:tcW w:type="dxa" w:w="1900"/>
            <w:tcMar>
              <w:top w:w="80" w:type="dxa"/>
              <w:start w:w="120" w:type="dxa"/>
              <w:bottom w:w="80" w:type="dxa"/>
              <w:end w:w="120" w:type="dxa"/>
            </w:tcMar>
            <w:vAlign w:val="center"/>
          </w:tcPr>
          <w:p>
            <w:pPr>
              <w:spacing w:after="0"/>
              <w:jc w:val="center"/>
            </w:pPr>
            <w:r>
              <w:rPr>
                <w:rFonts w:ascii="Calibri" w:hAnsi="Calibri"/>
                <w:b w:val="0"/>
                <w:i w:val="0"/>
                <w:color w:val="202124"/>
                <w:sz w:val="18"/>
              </w:rPr>
              <w:t>14,537.7</w:t>
            </w:r>
          </w:p>
        </w:tc>
        <w:tc>
          <w:tcPr>
            <w:tcW w:type="dxa" w:w="1900"/>
            <w:tcMar>
              <w:top w:w="80" w:type="dxa"/>
              <w:start w:w="120" w:type="dxa"/>
              <w:bottom w:w="80" w:type="dxa"/>
              <w:end w:w="120" w:type="dxa"/>
            </w:tcMar>
            <w:vAlign w:val="center"/>
          </w:tcPr>
          <w:p>
            <w:pPr>
              <w:spacing w:after="0"/>
              <w:jc w:val="center"/>
            </w:pPr>
            <w:r>
              <w:rPr>
                <w:rFonts w:ascii="Calibri" w:hAnsi="Calibri"/>
                <w:b w:val="0"/>
                <w:i w:val="0"/>
                <w:color w:val="202124"/>
                <w:sz w:val="18"/>
              </w:rPr>
              <w:t>6,181.7</w:t>
            </w:r>
          </w:p>
        </w:tc>
        <w:tc>
          <w:tcPr>
            <w:tcW w:type="dxa" w:w="2260"/>
            <w:tcMar>
              <w:top w:w="80" w:type="dxa"/>
              <w:start w:w="120" w:type="dxa"/>
              <w:bottom w:w="80" w:type="dxa"/>
              <w:end w:w="120" w:type="dxa"/>
            </w:tcMar>
            <w:vAlign w:val="center"/>
          </w:tcPr>
          <w:p>
            <w:pPr>
              <w:spacing w:after="0"/>
              <w:jc w:val="center"/>
            </w:pPr>
            <w:r>
              <w:rPr>
                <w:rFonts w:ascii="Calibri" w:hAnsi="Calibri"/>
                <w:b w:val="0"/>
                <w:i w:val="0"/>
                <w:color w:val="202124"/>
                <w:sz w:val="18"/>
              </w:rPr>
              <w:t>-57.5%</w:t>
            </w:r>
          </w:p>
        </w:tc>
      </w:tr>
      <w:tr>
        <w:tc>
          <w:tcPr>
            <w:tcW w:type="dxa" w:w="3300"/>
            <w:tcMar>
              <w:top w:w="80" w:type="dxa"/>
              <w:start w:w="120" w:type="dxa"/>
              <w:bottom w:w="80" w:type="dxa"/>
              <w:end w:w="120" w:type="dxa"/>
            </w:tcMar>
            <w:vAlign w:val="center"/>
          </w:tcPr>
          <w:p>
            <w:pPr>
              <w:spacing w:after="0"/>
              <w:jc w:val="left"/>
            </w:pPr>
            <w:r>
              <w:rPr>
                <w:rFonts w:ascii="Calibri" w:hAnsi="Calibri"/>
                <w:b w:val="0"/>
                <w:i w:val="0"/>
                <w:color w:val="202124"/>
                <w:sz w:val="18"/>
              </w:rPr>
              <w:t>Total tokens</w:t>
            </w:r>
          </w:p>
        </w:tc>
        <w:tc>
          <w:tcPr>
            <w:tcW w:type="dxa" w:w="1900"/>
            <w:tcMar>
              <w:top w:w="80" w:type="dxa"/>
              <w:start w:w="120" w:type="dxa"/>
              <w:bottom w:w="80" w:type="dxa"/>
              <w:end w:w="120" w:type="dxa"/>
            </w:tcMar>
            <w:vAlign w:val="center"/>
          </w:tcPr>
          <w:p>
            <w:pPr>
              <w:spacing w:after="0"/>
              <w:jc w:val="center"/>
            </w:pPr>
            <w:r>
              <w:rPr>
                <w:rFonts w:ascii="Calibri" w:hAnsi="Calibri"/>
                <w:b w:val="0"/>
                <w:i w:val="0"/>
                <w:color w:val="202124"/>
                <w:sz w:val="18"/>
              </w:rPr>
              <w:t>15,259.7</w:t>
            </w:r>
          </w:p>
        </w:tc>
        <w:tc>
          <w:tcPr>
            <w:tcW w:type="dxa" w:w="1900"/>
            <w:tcMar>
              <w:top w:w="80" w:type="dxa"/>
              <w:start w:w="120" w:type="dxa"/>
              <w:bottom w:w="80" w:type="dxa"/>
              <w:end w:w="120" w:type="dxa"/>
            </w:tcMar>
            <w:vAlign w:val="center"/>
          </w:tcPr>
          <w:p>
            <w:pPr>
              <w:spacing w:after="0"/>
              <w:jc w:val="center"/>
            </w:pPr>
            <w:r>
              <w:rPr>
                <w:rFonts w:ascii="Calibri" w:hAnsi="Calibri"/>
                <w:b w:val="0"/>
                <w:i w:val="0"/>
                <w:color w:val="202124"/>
                <w:sz w:val="18"/>
              </w:rPr>
              <w:t>7,005.0</w:t>
            </w:r>
          </w:p>
        </w:tc>
        <w:tc>
          <w:tcPr>
            <w:tcW w:type="dxa" w:w="2260"/>
            <w:tcMar>
              <w:top w:w="80" w:type="dxa"/>
              <w:start w:w="120" w:type="dxa"/>
              <w:bottom w:w="80" w:type="dxa"/>
              <w:end w:w="120" w:type="dxa"/>
            </w:tcMar>
            <w:vAlign w:val="center"/>
          </w:tcPr>
          <w:p>
            <w:pPr>
              <w:spacing w:after="0"/>
              <w:jc w:val="center"/>
            </w:pPr>
            <w:r>
              <w:rPr>
                <w:rFonts w:ascii="Calibri" w:hAnsi="Calibri"/>
                <w:b w:val="0"/>
                <w:i w:val="0"/>
                <w:color w:val="202124"/>
                <w:sz w:val="18"/>
              </w:rPr>
              <w:t>-54.1%</w:t>
            </w:r>
          </w:p>
        </w:tc>
      </w:tr>
      <w:tr>
        <w:tc>
          <w:tcPr>
            <w:tcW w:type="dxa" w:w="3300"/>
            <w:tcMar>
              <w:top w:w="80" w:type="dxa"/>
              <w:start w:w="120" w:type="dxa"/>
              <w:bottom w:w="80" w:type="dxa"/>
              <w:end w:w="120" w:type="dxa"/>
            </w:tcMar>
            <w:vAlign w:val="center"/>
          </w:tcPr>
          <w:p>
            <w:pPr>
              <w:spacing w:after="0"/>
              <w:jc w:val="left"/>
            </w:pPr>
            <w:r>
              <w:rPr>
                <w:rFonts w:ascii="Calibri" w:hAnsi="Calibri"/>
                <w:b w:val="0"/>
                <w:i w:val="0"/>
                <w:color w:val="202124"/>
                <w:sz w:val="18"/>
              </w:rPr>
              <w:t>Provider latency</w:t>
            </w:r>
          </w:p>
        </w:tc>
        <w:tc>
          <w:tcPr>
            <w:tcW w:type="dxa" w:w="1900"/>
            <w:tcMar>
              <w:top w:w="80" w:type="dxa"/>
              <w:start w:w="120" w:type="dxa"/>
              <w:bottom w:w="80" w:type="dxa"/>
              <w:end w:w="120" w:type="dxa"/>
            </w:tcMar>
            <w:vAlign w:val="center"/>
          </w:tcPr>
          <w:p>
            <w:pPr>
              <w:spacing w:after="0"/>
              <w:jc w:val="center"/>
            </w:pPr>
            <w:r>
              <w:rPr>
                <w:rFonts w:ascii="Calibri" w:hAnsi="Calibri"/>
                <w:b w:val="0"/>
                <w:i w:val="0"/>
                <w:color w:val="202124"/>
                <w:sz w:val="18"/>
              </w:rPr>
              <w:t>8.816 s</w:t>
            </w:r>
          </w:p>
        </w:tc>
        <w:tc>
          <w:tcPr>
            <w:tcW w:type="dxa" w:w="1900"/>
            <w:tcMar>
              <w:top w:w="80" w:type="dxa"/>
              <w:start w:w="120" w:type="dxa"/>
              <w:bottom w:w="80" w:type="dxa"/>
              <w:end w:w="120" w:type="dxa"/>
            </w:tcMar>
            <w:vAlign w:val="center"/>
          </w:tcPr>
          <w:p>
            <w:pPr>
              <w:spacing w:after="0"/>
              <w:jc w:val="center"/>
            </w:pPr>
            <w:r>
              <w:rPr>
                <w:rFonts w:ascii="Calibri" w:hAnsi="Calibri"/>
                <w:b w:val="0"/>
                <w:i w:val="0"/>
                <w:color w:val="202124"/>
                <w:sz w:val="18"/>
              </w:rPr>
              <w:t>12.671 s</w:t>
            </w:r>
          </w:p>
        </w:tc>
        <w:tc>
          <w:tcPr>
            <w:tcW w:type="dxa" w:w="2260"/>
            <w:tcMar>
              <w:top w:w="80" w:type="dxa"/>
              <w:start w:w="120" w:type="dxa"/>
              <w:bottom w:w="80" w:type="dxa"/>
              <w:end w:w="120" w:type="dxa"/>
            </w:tcMar>
            <w:vAlign w:val="center"/>
          </w:tcPr>
          <w:p>
            <w:pPr>
              <w:spacing w:after="0"/>
              <w:jc w:val="center"/>
            </w:pPr>
            <w:r>
              <w:rPr>
                <w:rFonts w:ascii="Calibri" w:hAnsi="Calibri"/>
                <w:b w:val="0"/>
                <w:i w:val="0"/>
                <w:color w:val="202124"/>
                <w:sz w:val="18"/>
              </w:rPr>
              <w:t>+43.7%</w:t>
            </w:r>
          </w:p>
        </w:tc>
      </w:tr>
    </w:tbl>
    <w:p>
      <w:pPr>
        <w:spacing w:after="20"/>
      </w:pPr>
    </w:p>
    <w:p>
      <w:r>
        <w:t>These conditional savings should not be interpreted as an overall efficiency win because agentic processing returned far fewer answers. A production evaluation must account for timeout cost, retry cost and missing outputs.</w:t>
      </w:r>
    </w:p>
    <w:p>
      <w:pPr>
        <w:pStyle w:val="Heading1"/>
      </w:pPr>
      <w:r>
        <w:t>4. Diagnostic follow-up</w:t>
      </w:r>
    </w:p>
    <w:p>
      <w:r>
        <w:t>The 600-second diagnostics were targeted rather than randomly sampled and are reported separately from the balanced primary cohort.</w:t>
      </w:r>
    </w:p>
    <w:tbl>
      <w:tblPr>
        <w:tblStyle w:val="TableGrid"/>
        <w:tblW w:type="dxa" w:w="9360"/>
        <w:tblLayout w:type="fixed"/>
        <w:tblLook w:firstColumn="1" w:firstRow="1" w:lastColumn="0" w:lastRow="0" w:noHBand="0" w:noVBand="1" w:val="04A0"/>
        <w:tblInd w:w="120" w:type="dxa"/>
      </w:tblPr>
      <w:tblGrid>
        <w:gridCol w:w="2700"/>
        <w:gridCol w:w="2500"/>
        <w:gridCol w:w="4160"/>
      </w:tblGrid>
      <w:tr>
        <w:trPr>
          <w:tblHeader w:val="true"/>
        </w:trPr>
        <w:tc>
          <w:tcPr>
            <w:tcW w:type="dxa" w:w="2700"/>
            <w:tcMar>
              <w:top w:w="80" w:type="dxa"/>
              <w:start w:w="120" w:type="dxa"/>
              <w:bottom w:w="80" w:type="dxa"/>
              <w:end w:w="120" w:type="dxa"/>
            </w:tcMar>
            <w:vAlign w:val="center"/>
            <w:shd w:fill="F2F4F7"/>
          </w:tcPr>
          <w:p>
            <w:pPr>
              <w:spacing w:after="0"/>
            </w:pPr>
            <w:r>
              <w:rPr>
                <w:rFonts w:ascii="Calibri" w:hAnsi="Calibri"/>
                <w:b/>
                <w:i w:val="0"/>
                <w:color w:val="1F4D78"/>
                <w:sz w:val="17"/>
              </w:rPr>
              <w:t>Diagnostic</w:t>
            </w:r>
          </w:p>
        </w:tc>
        <w:tc>
          <w:tcPr>
            <w:tcW w:type="dxa" w:w="2500"/>
            <w:tcMar>
              <w:top w:w="80" w:type="dxa"/>
              <w:start w:w="120" w:type="dxa"/>
              <w:bottom w:w="80" w:type="dxa"/>
              <w:end w:w="120" w:type="dxa"/>
            </w:tcMar>
            <w:vAlign w:val="center"/>
            <w:shd w:fill="F2F4F7"/>
          </w:tcPr>
          <w:p>
            <w:pPr>
              <w:spacing w:after="0"/>
            </w:pPr>
            <w:r>
              <w:rPr>
                <w:rFonts w:ascii="Calibri" w:hAnsi="Calibri"/>
                <w:b/>
                <w:i w:val="0"/>
                <w:color w:val="1F4D78"/>
                <w:sz w:val="17"/>
              </w:rPr>
              <w:t>Result</w:t>
            </w:r>
          </w:p>
        </w:tc>
        <w:tc>
          <w:tcPr>
            <w:tcW w:type="dxa" w:w="4160"/>
            <w:tcMar>
              <w:top w:w="80" w:type="dxa"/>
              <w:start w:w="120" w:type="dxa"/>
              <w:bottom w:w="80" w:type="dxa"/>
              <w:end w:w="120" w:type="dxa"/>
            </w:tcMar>
            <w:vAlign w:val="center"/>
            <w:shd w:fill="F2F4F7"/>
          </w:tcPr>
          <w:p>
            <w:pPr>
              <w:spacing w:after="0"/>
            </w:pPr>
            <w:r>
              <w:rPr>
                <w:rFonts w:ascii="Calibri" w:hAnsi="Calibri"/>
                <w:b/>
                <w:i w:val="0"/>
                <w:color w:val="1F4D78"/>
                <w:sz w:val="17"/>
              </w:rPr>
              <w:t>Interpretation</w:t>
            </w:r>
          </w:p>
        </w:tc>
      </w:tr>
      <w:tr>
        <w:tc>
          <w:tcPr>
            <w:tcW w:type="dxa" w:w="2700"/>
            <w:tcMar>
              <w:top w:w="80" w:type="dxa"/>
              <w:start w:w="120" w:type="dxa"/>
              <w:bottom w:w="80" w:type="dxa"/>
              <w:end w:w="120" w:type="dxa"/>
            </w:tcMar>
            <w:vAlign w:val="center"/>
          </w:tcPr>
          <w:p>
            <w:pPr>
              <w:spacing w:after="0"/>
              <w:jc w:val="left"/>
            </w:pPr>
            <w:r>
              <w:rPr>
                <w:rFonts w:ascii="Calibri" w:hAnsi="Calibri"/>
                <w:b w:val="0"/>
                <w:i w:val="0"/>
                <w:color w:val="202124"/>
                <w:sz w:val="17"/>
              </w:rPr>
              <w:t>Static: rapid crossing</w:t>
            </w:r>
          </w:p>
        </w:tc>
        <w:tc>
          <w:tcPr>
            <w:tcW w:type="dxa" w:w="2500"/>
            <w:tcMar>
              <w:top w:w="80" w:type="dxa"/>
              <w:start w:w="120" w:type="dxa"/>
              <w:bottom w:w="80" w:type="dxa"/>
              <w:end w:w="120" w:type="dxa"/>
            </w:tcMar>
            <w:vAlign w:val="center"/>
          </w:tcPr>
          <w:p>
            <w:pPr>
              <w:spacing w:after="0"/>
              <w:jc w:val="left"/>
            </w:pPr>
            <w:r>
              <w:rPr>
                <w:rFonts w:ascii="Calibri" w:hAnsi="Calibri"/>
                <w:b w:val="0"/>
                <w:i w:val="0"/>
                <w:color w:val="202124"/>
                <w:sz w:val="17"/>
              </w:rPr>
              <w:t>20.35 s; 0.6 semantic</w:t>
            </w:r>
          </w:p>
        </w:tc>
        <w:tc>
          <w:tcPr>
            <w:tcW w:type="dxa" w:w="4160"/>
            <w:tcMar>
              <w:top w:w="80" w:type="dxa"/>
              <w:start w:w="120" w:type="dxa"/>
              <w:bottom w:w="80" w:type="dxa"/>
              <w:end w:w="120" w:type="dxa"/>
            </w:tcMar>
            <w:vAlign w:val="center"/>
          </w:tcPr>
          <w:p>
            <w:pPr>
              <w:spacing w:after="0"/>
              <w:jc w:val="left"/>
            </w:pPr>
            <w:r>
              <w:rPr>
                <w:rFonts w:ascii="Calibri" w:hAnsi="Calibri"/>
                <w:b w:val="0"/>
                <w:i w:val="0"/>
                <w:color w:val="202124"/>
                <w:sz w:val="17"/>
              </w:rPr>
              <w:t>Returned, but swapped green/yellow - a real fine-motion error</w:t>
            </w:r>
          </w:p>
        </w:tc>
      </w:tr>
      <w:tr>
        <w:tc>
          <w:tcPr>
            <w:tcW w:type="dxa" w:w="2700"/>
            <w:tcMar>
              <w:top w:w="80" w:type="dxa"/>
              <w:start w:w="120" w:type="dxa"/>
              <w:bottom w:w="80" w:type="dxa"/>
              <w:end w:w="120" w:type="dxa"/>
            </w:tcMar>
            <w:vAlign w:val="center"/>
          </w:tcPr>
          <w:p>
            <w:pPr>
              <w:spacing w:after="0"/>
              <w:jc w:val="left"/>
            </w:pPr>
            <w:r>
              <w:rPr>
                <w:rFonts w:ascii="Calibri" w:hAnsi="Calibri"/>
                <w:b w:val="0"/>
                <w:i w:val="0"/>
                <w:color w:val="202124"/>
                <w:sz w:val="17"/>
              </w:rPr>
              <w:t>Static: completed ledger</w:t>
            </w:r>
          </w:p>
        </w:tc>
        <w:tc>
          <w:tcPr>
            <w:tcW w:type="dxa" w:w="2500"/>
            <w:tcMar>
              <w:top w:w="80" w:type="dxa"/>
              <w:start w:w="120" w:type="dxa"/>
              <w:bottom w:w="80" w:type="dxa"/>
              <w:end w:w="120" w:type="dxa"/>
            </w:tcMar>
            <w:vAlign w:val="center"/>
          </w:tcPr>
          <w:p>
            <w:pPr>
              <w:spacing w:after="0"/>
              <w:jc w:val="center"/>
            </w:pPr>
            <w:r>
              <w:rPr>
                <w:rFonts w:ascii="Calibri" w:hAnsi="Calibri"/>
                <w:b w:val="0"/>
                <w:i w:val="0"/>
                <w:color w:val="202124"/>
                <w:sz w:val="17"/>
              </w:rPr>
              <w:t>9.18 s; exact</w:t>
            </w:r>
          </w:p>
        </w:tc>
        <w:tc>
          <w:tcPr>
            <w:tcW w:type="dxa" w:w="4160"/>
            <w:tcMar>
              <w:top w:w="80" w:type="dxa"/>
              <w:start w:w="120" w:type="dxa"/>
              <w:bottom w:w="80" w:type="dxa"/>
              <w:end w:w="120" w:type="dxa"/>
            </w:tcMar>
            <w:vAlign w:val="center"/>
          </w:tcPr>
          <w:p>
            <w:pPr>
              <w:spacing w:after="0"/>
              <w:jc w:val="left"/>
            </w:pPr>
            <w:r>
              <w:rPr>
                <w:rFonts w:ascii="Calibri" w:hAnsi="Calibri"/>
                <w:b w:val="0"/>
                <w:i w:val="0"/>
                <w:color w:val="202124"/>
                <w:sz w:val="17"/>
              </w:rPr>
              <w:t>Primary timeouts were stochastic; output was fenced JSON</w:t>
            </w:r>
          </w:p>
        </w:tc>
      </w:tr>
      <w:tr>
        <w:tc>
          <w:tcPr>
            <w:tcW w:type="dxa" w:w="2700"/>
            <w:tcMar>
              <w:top w:w="80" w:type="dxa"/>
              <w:start w:w="120" w:type="dxa"/>
              <w:bottom w:w="80" w:type="dxa"/>
              <w:end w:w="120" w:type="dxa"/>
            </w:tcMar>
            <w:vAlign w:val="center"/>
          </w:tcPr>
          <w:p>
            <w:pPr>
              <w:spacing w:after="0"/>
              <w:jc w:val="left"/>
            </w:pPr>
            <w:r>
              <w:rPr>
                <w:rFonts w:ascii="Calibri" w:hAnsi="Calibri"/>
                <w:b w:val="0"/>
                <w:i w:val="0"/>
                <w:color w:val="202124"/>
                <w:sz w:val="17"/>
              </w:rPr>
              <w:t>Agentic: red count</w:t>
            </w:r>
          </w:p>
        </w:tc>
        <w:tc>
          <w:tcPr>
            <w:tcW w:type="dxa" w:w="2500"/>
            <w:tcMar>
              <w:top w:w="80" w:type="dxa"/>
              <w:start w:w="120" w:type="dxa"/>
              <w:bottom w:w="80" w:type="dxa"/>
              <w:end w:w="120" w:type="dxa"/>
            </w:tcMar>
            <w:vAlign w:val="center"/>
          </w:tcPr>
          <w:p>
            <w:pPr>
              <w:spacing w:after="0"/>
              <w:jc w:val="center"/>
            </w:pPr>
            <w:r>
              <w:rPr>
                <w:rFonts w:ascii="Calibri" w:hAnsi="Calibri"/>
                <w:b w:val="0"/>
                <w:i w:val="0"/>
                <w:color w:val="202124"/>
                <w:sz w:val="17"/>
              </w:rPr>
              <w:t>25.75 s; exact</w:t>
            </w:r>
          </w:p>
        </w:tc>
        <w:tc>
          <w:tcPr>
            <w:tcW w:type="dxa" w:w="4160"/>
            <w:tcMar>
              <w:top w:w="80" w:type="dxa"/>
              <w:start w:w="120" w:type="dxa"/>
              <w:bottom w:w="80" w:type="dxa"/>
              <w:end w:w="120" w:type="dxa"/>
            </w:tcMar>
            <w:vAlign w:val="center"/>
          </w:tcPr>
          <w:p>
            <w:pPr>
              <w:spacing w:after="0"/>
              <w:jc w:val="left"/>
            </w:pPr>
            <w:r>
              <w:rPr>
                <w:rFonts w:ascii="Calibri" w:hAnsi="Calibri"/>
                <w:b w:val="0"/>
                <w:i w:val="0"/>
                <w:color w:val="202124"/>
                <w:sz w:val="17"/>
              </w:rPr>
              <w:t>Recovered, but slower and more token-intensive than static</w:t>
            </w:r>
          </w:p>
        </w:tc>
      </w:tr>
      <w:tr>
        <w:tc>
          <w:tcPr>
            <w:tcW w:type="dxa" w:w="2700"/>
            <w:tcMar>
              <w:top w:w="80" w:type="dxa"/>
              <w:start w:w="120" w:type="dxa"/>
              <w:bottom w:w="80" w:type="dxa"/>
              <w:end w:w="120" w:type="dxa"/>
            </w:tcMar>
            <w:vAlign w:val="center"/>
          </w:tcPr>
          <w:p>
            <w:pPr>
              <w:spacing w:after="0"/>
              <w:jc w:val="left"/>
            </w:pPr>
            <w:r>
              <w:rPr>
                <w:rFonts w:ascii="Calibri" w:hAnsi="Calibri"/>
                <w:b w:val="0"/>
                <w:i w:val="0"/>
                <w:color w:val="202124"/>
                <w:sz w:val="17"/>
              </w:rPr>
              <w:t>Agentic: feint negative</w:t>
            </w:r>
          </w:p>
        </w:tc>
        <w:tc>
          <w:tcPr>
            <w:tcW w:type="dxa" w:w="2500"/>
            <w:tcMar>
              <w:top w:w="80" w:type="dxa"/>
              <w:start w:w="120" w:type="dxa"/>
              <w:bottom w:w="80" w:type="dxa"/>
              <w:end w:w="120" w:type="dxa"/>
            </w:tcMar>
            <w:vAlign w:val="center"/>
          </w:tcPr>
          <w:p>
            <w:pPr>
              <w:spacing w:after="0"/>
              <w:jc w:val="center"/>
            </w:pPr>
            <w:r>
              <w:rPr>
                <w:rFonts w:ascii="Calibri" w:hAnsi="Calibri"/>
                <w:b w:val="0"/>
                <w:i w:val="0"/>
                <w:color w:val="202124"/>
                <w:sz w:val="17"/>
              </w:rPr>
              <w:t>13.21 s; exact</w:t>
            </w:r>
          </w:p>
        </w:tc>
        <w:tc>
          <w:tcPr>
            <w:tcW w:type="dxa" w:w="4160"/>
            <w:tcMar>
              <w:top w:w="80" w:type="dxa"/>
              <w:start w:w="120" w:type="dxa"/>
              <w:bottom w:w="80" w:type="dxa"/>
              <w:end w:w="120" w:type="dxa"/>
            </w:tcMar>
            <w:vAlign w:val="center"/>
          </w:tcPr>
          <w:p>
            <w:pPr>
              <w:spacing w:after="0"/>
              <w:jc w:val="left"/>
            </w:pPr>
            <w:r>
              <w:rPr>
                <w:rFonts w:ascii="Calibri" w:hAnsi="Calibri"/>
                <w:b w:val="0"/>
                <w:i w:val="0"/>
                <w:color w:val="202124"/>
                <w:sz w:val="17"/>
              </w:rPr>
              <w:t>Original connection abort was transient</w:t>
            </w:r>
          </w:p>
        </w:tc>
      </w:tr>
      <w:tr>
        <w:tc>
          <w:tcPr>
            <w:tcW w:type="dxa" w:w="2700"/>
            <w:tcMar>
              <w:top w:w="80" w:type="dxa"/>
              <w:start w:w="120" w:type="dxa"/>
              <w:bottom w:w="80" w:type="dxa"/>
              <w:end w:w="120" w:type="dxa"/>
            </w:tcMar>
            <w:vAlign w:val="center"/>
          </w:tcPr>
          <w:p>
            <w:pPr>
              <w:spacing w:after="0"/>
              <w:jc w:val="left"/>
            </w:pPr>
            <w:r>
              <w:rPr>
                <w:rFonts w:ascii="Calibri" w:hAnsi="Calibri"/>
                <w:b w:val="0"/>
                <w:i w:val="0"/>
                <w:color w:val="202124"/>
                <w:sz w:val="17"/>
              </w:rPr>
              <w:t>Agentic: completed ledger</w:t>
            </w:r>
          </w:p>
        </w:tc>
        <w:tc>
          <w:tcPr>
            <w:tcW w:type="dxa" w:w="2500"/>
            <w:tcMar>
              <w:top w:w="80" w:type="dxa"/>
              <w:start w:w="120" w:type="dxa"/>
              <w:bottom w:w="80" w:type="dxa"/>
              <w:end w:w="120" w:type="dxa"/>
            </w:tcMar>
            <w:vAlign w:val="center"/>
          </w:tcPr>
          <w:p>
            <w:pPr>
              <w:spacing w:after="0"/>
              <w:jc w:val="center"/>
            </w:pPr>
            <w:r>
              <w:rPr>
                <w:rFonts w:ascii="Calibri" w:hAnsi="Calibri"/>
                <w:b w:val="0"/>
                <w:i w:val="0"/>
                <w:color w:val="202124"/>
                <w:sz w:val="17"/>
              </w:rPr>
              <w:t>600 s timeout</w:t>
            </w:r>
          </w:p>
        </w:tc>
        <w:tc>
          <w:tcPr>
            <w:tcW w:type="dxa" w:w="4160"/>
            <w:tcMar>
              <w:top w:w="80" w:type="dxa"/>
              <w:start w:w="120" w:type="dxa"/>
              <w:bottom w:w="80" w:type="dxa"/>
              <w:end w:w="120" w:type="dxa"/>
            </w:tcMar>
            <w:vAlign w:val="center"/>
          </w:tcPr>
          <w:p>
            <w:pPr>
              <w:spacing w:after="0"/>
              <w:jc w:val="left"/>
            </w:pPr>
            <w:r>
              <w:rPr>
                <w:rFonts w:ascii="Calibri" w:hAnsi="Calibri"/>
                <w:b w:val="0"/>
                <w:i w:val="0"/>
                <w:color w:val="202124"/>
                <w:sz w:val="17"/>
              </w:rPr>
              <w:t>Persistent non-convergence</w:t>
            </w:r>
          </w:p>
        </w:tc>
      </w:tr>
      <w:tr>
        <w:tc>
          <w:tcPr>
            <w:tcW w:type="dxa" w:w="2700"/>
            <w:tcMar>
              <w:top w:w="80" w:type="dxa"/>
              <w:start w:w="120" w:type="dxa"/>
              <w:bottom w:w="80" w:type="dxa"/>
              <w:end w:w="120" w:type="dxa"/>
            </w:tcMar>
            <w:vAlign w:val="center"/>
          </w:tcPr>
          <w:p>
            <w:pPr>
              <w:spacing w:after="0"/>
              <w:jc w:val="left"/>
            </w:pPr>
            <w:r>
              <w:rPr>
                <w:rFonts w:ascii="Calibri" w:hAnsi="Calibri"/>
                <w:b w:val="0"/>
                <w:i w:val="0"/>
                <w:color w:val="202124"/>
                <w:sz w:val="17"/>
              </w:rPr>
              <w:t>Agentic: needle color</w:t>
            </w:r>
          </w:p>
        </w:tc>
        <w:tc>
          <w:tcPr>
            <w:tcW w:type="dxa" w:w="2500"/>
            <w:tcMar>
              <w:top w:w="80" w:type="dxa"/>
              <w:start w:w="120" w:type="dxa"/>
              <w:bottom w:w="80" w:type="dxa"/>
              <w:end w:w="120" w:type="dxa"/>
            </w:tcMar>
            <w:vAlign w:val="center"/>
          </w:tcPr>
          <w:p>
            <w:pPr>
              <w:spacing w:after="0"/>
              <w:jc w:val="center"/>
            </w:pPr>
            <w:r>
              <w:rPr>
                <w:rFonts w:ascii="Calibri" w:hAnsi="Calibri"/>
                <w:b w:val="0"/>
                <w:i w:val="0"/>
                <w:color w:val="202124"/>
                <w:sz w:val="17"/>
              </w:rPr>
              <w:t>600 s timeout</w:t>
            </w:r>
          </w:p>
        </w:tc>
        <w:tc>
          <w:tcPr>
            <w:tcW w:type="dxa" w:w="4160"/>
            <w:tcMar>
              <w:top w:w="80" w:type="dxa"/>
              <w:start w:w="120" w:type="dxa"/>
              <w:bottom w:w="80" w:type="dxa"/>
              <w:end w:w="120" w:type="dxa"/>
            </w:tcMar>
            <w:vAlign w:val="center"/>
          </w:tcPr>
          <w:p>
            <w:pPr>
              <w:spacing w:after="0"/>
              <w:jc w:val="left"/>
            </w:pPr>
            <w:r>
              <w:rPr>
                <w:rFonts w:ascii="Calibri" w:hAnsi="Calibri"/>
                <w:b w:val="0"/>
                <w:i w:val="0"/>
                <w:color w:val="202124"/>
                <w:sz w:val="17"/>
              </w:rPr>
              <w:t>Persistent query-specific non-convergence</w:t>
            </w:r>
          </w:p>
        </w:tc>
      </w:tr>
    </w:tbl>
    <w:p>
      <w:pPr>
        <w:spacing w:after="20"/>
      </w:pPr>
    </w:p>
    <w:p>
      <w:r>
        <w:t>Several 180-second timeouts cannot be described simply as slow computations: retried requests returned in 9-26 seconds. This points to stochastic strategy selection, request/service state or another execution-level instability. In contrast, the two repeated 600-second agentic timeouts are strong evidence of persistent non-convergence for those task-query combinations.</w:t>
      </w:r>
    </w:p>
    <w:p>
      <w:pPr>
        <w:pStyle w:val="Heading1"/>
      </w:pPr>
      <w:r>
        <w:t>5. Standout findings</w:t>
      </w:r>
    </w:p>
    <w:p>
      <w:pPr>
        <w:pStyle w:val="Heading2"/>
      </w:pPr>
      <w:r>
        <w:t>5.1 Fine-motion ordering: strongest agentic advantage</w:t>
      </w:r>
    </w:p>
    <w:p>
      <w:r>
        <w:t>Agentic processing answered the five-object rapid crossing order correctly in all three primary attempts. Static processing returned no answer within the primary SLA; on a 600-second diagnostic retry it returned after 20.35 provider-seconds but reversed the adjacent green and yellow crossings. Agentic averaged about 15.0 provider-seconds and was both faster and more accurate on the returned diagnostic comparison.</w:t>
      </w:r>
    </w:p>
    <w:tbl>
      <w:tblPr>
        <w:tblStyle w:val="TableGrid"/>
        <w:tblW w:type="dxa" w:w="9360"/>
        <w:tblLayout w:type="fixed"/>
        <w:tblLook w:firstColumn="1" w:firstRow="1" w:lastColumn="0" w:lastRow="0" w:noHBand="0" w:noVBand="1" w:val="04A0"/>
        <w:tblInd w:w="120" w:type="dxa"/>
      </w:tblPr>
      <w:tblGrid>
        <w:gridCol w:w="3900"/>
        <w:gridCol w:w="2730"/>
        <w:gridCol w:w="2730"/>
      </w:tblGrid>
      <w:tr>
        <w:trPr>
          <w:tblHeader w:val="true"/>
        </w:trPr>
        <w:tc>
          <w:tcPr>
            <w:tcW w:type="dxa" w:w="3900"/>
            <w:tcMar>
              <w:top w:w="80" w:type="dxa"/>
              <w:start w:w="120" w:type="dxa"/>
              <w:bottom w:w="80" w:type="dxa"/>
              <w:end w:w="120" w:type="dxa"/>
            </w:tcMar>
            <w:vAlign w:val="center"/>
            <w:shd w:fill="F2F4F7"/>
          </w:tcPr>
          <w:p>
            <w:pPr>
              <w:spacing w:after="0"/>
            </w:pPr>
            <w:r>
              <w:rPr>
                <w:rFonts w:ascii="Calibri" w:hAnsi="Calibri"/>
                <w:b/>
                <w:i w:val="0"/>
                <w:color w:val="1F4D78"/>
                <w:sz w:val="18"/>
              </w:rPr>
              <w:t>Rapid crossing metric</w:t>
            </w:r>
          </w:p>
        </w:tc>
        <w:tc>
          <w:tcPr>
            <w:tcW w:type="dxa" w:w="2730"/>
            <w:tcMar>
              <w:top w:w="80" w:type="dxa"/>
              <w:start w:w="120" w:type="dxa"/>
              <w:bottom w:w="80" w:type="dxa"/>
              <w:end w:w="120" w:type="dxa"/>
            </w:tcMar>
            <w:vAlign w:val="center"/>
            <w:shd w:fill="F2F4F7"/>
          </w:tcPr>
          <w:p>
            <w:pPr>
              <w:spacing w:after="0"/>
            </w:pPr>
            <w:r>
              <w:rPr>
                <w:rFonts w:ascii="Calibri" w:hAnsi="Calibri"/>
                <w:b/>
                <w:i w:val="0"/>
                <w:color w:val="1F4D78"/>
                <w:sz w:val="18"/>
              </w:rPr>
              <w:t>Static diagnostic</w:t>
            </w:r>
          </w:p>
        </w:tc>
        <w:tc>
          <w:tcPr>
            <w:tcW w:type="dxa" w:w="2730"/>
            <w:tcMar>
              <w:top w:w="80" w:type="dxa"/>
              <w:start w:w="120" w:type="dxa"/>
              <w:bottom w:w="80" w:type="dxa"/>
              <w:end w:w="120" w:type="dxa"/>
            </w:tcMar>
            <w:vAlign w:val="center"/>
            <w:shd w:fill="F2F4F7"/>
          </w:tcPr>
          <w:p>
            <w:pPr>
              <w:spacing w:after="0"/>
            </w:pPr>
            <w:r>
              <w:rPr>
                <w:rFonts w:ascii="Calibri" w:hAnsi="Calibri"/>
                <w:b/>
                <w:i w:val="0"/>
                <w:color w:val="1F4D78"/>
                <w:sz w:val="18"/>
              </w:rPr>
              <w:t>Agentic primary mean</w:t>
            </w:r>
          </w:p>
        </w:tc>
      </w:tr>
      <w:tr>
        <w:tc>
          <w:tcPr>
            <w:tcW w:type="dxa" w:w="3900"/>
            <w:tcMar>
              <w:top w:w="80" w:type="dxa"/>
              <w:start w:w="120" w:type="dxa"/>
              <w:bottom w:w="80" w:type="dxa"/>
              <w:end w:w="120" w:type="dxa"/>
            </w:tcMar>
            <w:vAlign w:val="center"/>
          </w:tcPr>
          <w:p>
            <w:pPr>
              <w:spacing w:after="0"/>
              <w:jc w:val="left"/>
            </w:pPr>
            <w:r>
              <w:rPr>
                <w:rFonts w:ascii="Calibri" w:hAnsi="Calibri"/>
                <w:b w:val="0"/>
                <w:i w:val="0"/>
                <w:color w:val="202124"/>
                <w:sz w:val="18"/>
              </w:rPr>
              <w:t>Semantic result</w:t>
            </w:r>
          </w:p>
        </w:tc>
        <w:tc>
          <w:tcPr>
            <w:tcW w:type="dxa" w:w="2730"/>
            <w:tcMar>
              <w:top w:w="80" w:type="dxa"/>
              <w:start w:w="120" w:type="dxa"/>
              <w:bottom w:w="80" w:type="dxa"/>
              <w:end w:w="120" w:type="dxa"/>
            </w:tcMar>
            <w:vAlign w:val="center"/>
          </w:tcPr>
          <w:p>
            <w:pPr>
              <w:spacing w:after="0"/>
              <w:jc w:val="center"/>
            </w:pPr>
            <w:r>
              <w:rPr>
                <w:rFonts w:ascii="Calibri" w:hAnsi="Calibri"/>
                <w:b w:val="0"/>
                <w:i w:val="0"/>
                <w:color w:val="202124"/>
                <w:sz w:val="18"/>
              </w:rPr>
              <w:t>0.6 partial</w:t>
            </w:r>
          </w:p>
        </w:tc>
        <w:tc>
          <w:tcPr>
            <w:tcW w:type="dxa" w:w="2730"/>
            <w:tcMar>
              <w:top w:w="80" w:type="dxa"/>
              <w:start w:w="120" w:type="dxa"/>
              <w:bottom w:w="80" w:type="dxa"/>
              <w:end w:w="120" w:type="dxa"/>
            </w:tcMar>
            <w:vAlign w:val="center"/>
          </w:tcPr>
          <w:p>
            <w:pPr>
              <w:spacing w:after="0"/>
              <w:jc w:val="center"/>
            </w:pPr>
            <w:r>
              <w:rPr>
                <w:rFonts w:ascii="Calibri" w:hAnsi="Calibri"/>
                <w:b w:val="0"/>
                <w:i w:val="0"/>
                <w:color w:val="202124"/>
                <w:sz w:val="18"/>
              </w:rPr>
              <w:t>3/3 exact</w:t>
            </w:r>
          </w:p>
        </w:tc>
      </w:tr>
      <w:tr>
        <w:tc>
          <w:tcPr>
            <w:tcW w:type="dxa" w:w="3900"/>
            <w:tcMar>
              <w:top w:w="80" w:type="dxa"/>
              <w:start w:w="120" w:type="dxa"/>
              <w:bottom w:w="80" w:type="dxa"/>
              <w:end w:w="120" w:type="dxa"/>
            </w:tcMar>
            <w:vAlign w:val="center"/>
          </w:tcPr>
          <w:p>
            <w:pPr>
              <w:spacing w:after="0"/>
              <w:jc w:val="left"/>
            </w:pPr>
            <w:r>
              <w:rPr>
                <w:rFonts w:ascii="Calibri" w:hAnsi="Calibri"/>
                <w:b w:val="0"/>
                <w:i w:val="0"/>
                <w:color w:val="202124"/>
                <w:sz w:val="18"/>
              </w:rPr>
              <w:t>Input tokens</w:t>
            </w:r>
          </w:p>
        </w:tc>
        <w:tc>
          <w:tcPr>
            <w:tcW w:type="dxa" w:w="2730"/>
            <w:tcMar>
              <w:top w:w="80" w:type="dxa"/>
              <w:start w:w="120" w:type="dxa"/>
              <w:bottom w:w="80" w:type="dxa"/>
              <w:end w:w="120" w:type="dxa"/>
            </w:tcMar>
            <w:vAlign w:val="center"/>
          </w:tcPr>
          <w:p>
            <w:pPr>
              <w:spacing w:after="0"/>
              <w:jc w:val="center"/>
            </w:pPr>
            <w:r>
              <w:rPr>
                <w:rFonts w:ascii="Calibri" w:hAnsi="Calibri"/>
                <w:b w:val="0"/>
                <w:i w:val="0"/>
                <w:color w:val="202124"/>
                <w:sz w:val="18"/>
              </w:rPr>
              <w:t>1,208</w:t>
            </w:r>
          </w:p>
        </w:tc>
        <w:tc>
          <w:tcPr>
            <w:tcW w:type="dxa" w:w="2730"/>
            <w:tcMar>
              <w:top w:w="80" w:type="dxa"/>
              <w:start w:w="120" w:type="dxa"/>
              <w:bottom w:w="80" w:type="dxa"/>
              <w:end w:w="120" w:type="dxa"/>
            </w:tcMar>
            <w:vAlign w:val="center"/>
          </w:tcPr>
          <w:p>
            <w:pPr>
              <w:spacing w:after="0"/>
              <w:jc w:val="center"/>
            </w:pPr>
            <w:r>
              <w:rPr>
                <w:rFonts w:ascii="Calibri" w:hAnsi="Calibri"/>
                <w:b w:val="0"/>
                <w:i w:val="0"/>
                <w:color w:val="202124"/>
                <w:sz w:val="18"/>
              </w:rPr>
              <w:t>10,982.7</w:t>
            </w:r>
          </w:p>
        </w:tc>
      </w:tr>
      <w:tr>
        <w:tc>
          <w:tcPr>
            <w:tcW w:type="dxa" w:w="3900"/>
            <w:tcMar>
              <w:top w:w="80" w:type="dxa"/>
              <w:start w:w="120" w:type="dxa"/>
              <w:bottom w:w="80" w:type="dxa"/>
              <w:end w:w="120" w:type="dxa"/>
            </w:tcMar>
            <w:vAlign w:val="center"/>
          </w:tcPr>
          <w:p>
            <w:pPr>
              <w:spacing w:after="0"/>
              <w:jc w:val="left"/>
            </w:pPr>
            <w:r>
              <w:rPr>
                <w:rFonts w:ascii="Calibri" w:hAnsi="Calibri"/>
                <w:b w:val="0"/>
                <w:i w:val="0"/>
                <w:color w:val="202124"/>
                <w:sz w:val="18"/>
              </w:rPr>
              <w:t>Total tokens</w:t>
            </w:r>
          </w:p>
        </w:tc>
        <w:tc>
          <w:tcPr>
            <w:tcW w:type="dxa" w:w="2730"/>
            <w:tcMar>
              <w:top w:w="80" w:type="dxa"/>
              <w:start w:w="120" w:type="dxa"/>
              <w:bottom w:w="80" w:type="dxa"/>
              <w:end w:w="120" w:type="dxa"/>
            </w:tcMar>
            <w:vAlign w:val="center"/>
          </w:tcPr>
          <w:p>
            <w:pPr>
              <w:spacing w:after="0"/>
              <w:jc w:val="center"/>
            </w:pPr>
            <w:r>
              <w:rPr>
                <w:rFonts w:ascii="Calibri" w:hAnsi="Calibri"/>
                <w:b w:val="0"/>
                <w:i w:val="0"/>
                <w:color w:val="202124"/>
                <w:sz w:val="18"/>
              </w:rPr>
              <w:t>4,832</w:t>
            </w:r>
          </w:p>
        </w:tc>
        <w:tc>
          <w:tcPr>
            <w:tcW w:type="dxa" w:w="2730"/>
            <w:tcMar>
              <w:top w:w="80" w:type="dxa"/>
              <w:start w:w="120" w:type="dxa"/>
              <w:bottom w:w="80" w:type="dxa"/>
              <w:end w:w="120" w:type="dxa"/>
            </w:tcMar>
            <w:vAlign w:val="center"/>
          </w:tcPr>
          <w:p>
            <w:pPr>
              <w:spacing w:after="0"/>
              <w:jc w:val="center"/>
            </w:pPr>
            <w:r>
              <w:rPr>
                <w:rFonts w:ascii="Calibri" w:hAnsi="Calibri"/>
                <w:b w:val="0"/>
                <w:i w:val="0"/>
                <w:color w:val="202124"/>
                <w:sz w:val="18"/>
              </w:rPr>
              <w:t>12,221.3</w:t>
            </w:r>
          </w:p>
        </w:tc>
      </w:tr>
      <w:tr>
        <w:tc>
          <w:tcPr>
            <w:tcW w:type="dxa" w:w="3900"/>
            <w:tcMar>
              <w:top w:w="80" w:type="dxa"/>
              <w:start w:w="120" w:type="dxa"/>
              <w:bottom w:w="80" w:type="dxa"/>
              <w:end w:w="120" w:type="dxa"/>
            </w:tcMar>
            <w:vAlign w:val="center"/>
          </w:tcPr>
          <w:p>
            <w:pPr>
              <w:spacing w:after="0"/>
              <w:jc w:val="left"/>
            </w:pPr>
            <w:r>
              <w:rPr>
                <w:rFonts w:ascii="Calibri" w:hAnsi="Calibri"/>
                <w:b w:val="0"/>
                <w:i w:val="0"/>
                <w:color w:val="202124"/>
                <w:sz w:val="18"/>
              </w:rPr>
              <w:t>Provider latency</w:t>
            </w:r>
          </w:p>
        </w:tc>
        <w:tc>
          <w:tcPr>
            <w:tcW w:type="dxa" w:w="2730"/>
            <w:tcMar>
              <w:top w:w="80" w:type="dxa"/>
              <w:start w:w="120" w:type="dxa"/>
              <w:bottom w:w="80" w:type="dxa"/>
              <w:end w:w="120" w:type="dxa"/>
            </w:tcMar>
            <w:vAlign w:val="center"/>
          </w:tcPr>
          <w:p>
            <w:pPr>
              <w:spacing w:after="0"/>
              <w:jc w:val="center"/>
            </w:pPr>
            <w:r>
              <w:rPr>
                <w:rFonts w:ascii="Calibri" w:hAnsi="Calibri"/>
                <w:b w:val="0"/>
                <w:i w:val="0"/>
                <w:color w:val="202124"/>
                <w:sz w:val="18"/>
              </w:rPr>
              <w:t>20.35 s</w:t>
            </w:r>
          </w:p>
        </w:tc>
        <w:tc>
          <w:tcPr>
            <w:tcW w:type="dxa" w:w="2730"/>
            <w:tcMar>
              <w:top w:w="80" w:type="dxa"/>
              <w:start w:w="120" w:type="dxa"/>
              <w:bottom w:w="80" w:type="dxa"/>
              <w:end w:w="120" w:type="dxa"/>
            </w:tcMar>
            <w:vAlign w:val="center"/>
          </w:tcPr>
          <w:p>
            <w:pPr>
              <w:spacing w:after="0"/>
              <w:jc w:val="center"/>
            </w:pPr>
            <w:r>
              <w:rPr>
                <w:rFonts w:ascii="Calibri" w:hAnsi="Calibri"/>
                <w:b w:val="0"/>
                <w:i w:val="0"/>
                <w:color w:val="202124"/>
                <w:sz w:val="18"/>
              </w:rPr>
              <w:t>~15.0 s</w:t>
            </w:r>
          </w:p>
        </w:tc>
      </w:tr>
    </w:tbl>
    <w:p>
      <w:pPr>
        <w:spacing w:after="20"/>
      </w:pPr>
    </w:p>
    <w:p>
      <w:r>
        <w:t>The accuracy gain required approximately 9.1 times the input tokens and 2.5 times the total tokens. This is the clearest evidence that selective higher-fidelity inspection can improve dense temporal discrimination, but not cheaply.</w:t>
      </w:r>
    </w:p>
    <w:p>
      <w:pPr>
        <w:pStyle w:val="Heading2"/>
      </w:pPr>
      <w:r>
        <w:t>5.2 Token reduction: useful but selective</w:t>
      </w:r>
    </w:p>
    <w:p>
      <w:r>
        <w:t>For the feint-negative task, all three successful agentic calls were correct and averaged 5,632 input tokens versus 11,897 for static (-52.7%), and 6,496 total tokens versus 12,836 (-49.4%). Provider latency increased from 9.52 to 13.22 seconds (+38.9%). The successful needle-timestamp pair was more dramatic: agentic used 5,627 input tokens versus 19,819 (-71.6%) while remaining correct, but two other agentic repetitions timed out.</w:t>
      </w:r>
    </w:p>
    <w:p>
      <w:r>
        <w:t>Token reduction was not universal. On the recovered red-swallow count, agentic used 14,475 input tokens versus a static mean of 11,909 (+21.5%), 16,873 total tokens versus 13,328 (+26.6%), and approximately twice the provider latency.</w:t>
      </w:r>
    </w:p>
    <w:p>
      <w:pPr>
        <w:pStyle w:val="Heading2"/>
      </w:pPr>
      <w:r>
        <w:t>5.3 Query-sensitive non-convergence</w:t>
      </w:r>
    </w:p>
    <w:p>
      <w:r>
        <w:t>The same sparse-event video behaved differently depending on the question. Static processing correctly answered both color and timestamp. Agentic processing timed out on every color attempt, including a 600-second retry, but produced one correct and highly token-efficient timestamp answer. This suggests that question formulation can materially alter the evidence-selection trajectory even when the underlying visual event is unchanged.</w:t>
      </w:r>
    </w:p>
    <w:p>
      <w:pPr>
        <w:pStyle w:val="Heading1"/>
      </w:pPr>
      <w:r>
        <w:t>6. Failure modes and unexpected behavior</w:t>
      </w:r>
    </w:p>
    <w:p>
      <w:pPr>
        <w:pStyle w:val="ListBullet"/>
      </w:pPr>
      <w:r>
        <w:rPr>
          <w:rFonts w:ascii="Calibri" w:hAnsi="Calibri"/>
          <w:b/>
          <w:i w:val="0"/>
          <w:color w:val="202124"/>
          <w:sz w:val="22"/>
        </w:rPr>
        <w:t>Repeated non-convergence:</w:t>
      </w:r>
      <w:r>
        <w:rPr>
          <w:rFonts w:ascii="Calibri" w:hAnsi="Calibri"/>
          <w:b w:val="0"/>
          <w:i w:val="0"/>
          <w:color w:val="202124"/>
          <w:sz w:val="22"/>
        </w:rPr>
        <w:t xml:space="preserve"> agentic calls sometimes failed to return after 600 seconds on short clips, matching the EAP's requested monitoring for repeated re-watching or failure to converge.</w:t>
      </w:r>
    </w:p>
    <w:p>
      <w:pPr>
        <w:pStyle w:val="ListBullet"/>
      </w:pPr>
      <w:r>
        <w:rPr>
          <w:rFonts w:ascii="Calibri" w:hAnsi="Calibri"/>
          <w:b/>
          <w:i w:val="0"/>
          <w:color w:val="202124"/>
          <w:sz w:val="22"/>
        </w:rPr>
        <w:t>High stochasticity:</w:t>
      </w:r>
      <w:r>
        <w:rPr>
          <w:rFonts w:ascii="Calibri" w:hAnsi="Calibri"/>
          <w:b w:val="0"/>
          <w:i w:val="0"/>
          <w:color w:val="202124"/>
          <w:sz w:val="22"/>
        </w:rPr>
        <w:t xml:space="preserve"> some tasks produced several 180-second timeouts followed by a retry completing in seconds, complicating reproducibility and capacity planning.</w:t>
      </w:r>
    </w:p>
    <w:p>
      <w:pPr>
        <w:pStyle w:val="ListBullet"/>
      </w:pPr>
      <w:r>
        <w:rPr>
          <w:rFonts w:ascii="Calibri" w:hAnsi="Calibri"/>
          <w:b/>
          <w:i w:val="0"/>
          <w:color w:val="202124"/>
          <w:sz w:val="22"/>
        </w:rPr>
        <w:t>Over-processing of short video:</w:t>
      </w:r>
      <w:r>
        <w:rPr>
          <w:rFonts w:ascii="Calibri" w:hAnsi="Calibri"/>
          <w:b w:val="0"/>
          <w:i w:val="0"/>
          <w:color w:val="202124"/>
          <w:sz w:val="22"/>
        </w:rPr>
        <w:t xml:space="preserve"> agentic processing sometimes used more tokens and latency than static even when the task was straightforward.</w:t>
      </w:r>
    </w:p>
    <w:p>
      <w:pPr>
        <w:pStyle w:val="ListBullet"/>
      </w:pPr>
      <w:r>
        <w:rPr>
          <w:rFonts w:ascii="Calibri" w:hAnsi="Calibri"/>
          <w:b/>
          <w:i w:val="0"/>
          <w:color w:val="202124"/>
          <w:sz w:val="22"/>
        </w:rPr>
        <w:t>Query sensitivity:</w:t>
      </w:r>
      <w:r>
        <w:rPr>
          <w:rFonts w:ascii="Calibri" w:hAnsi="Calibri"/>
          <w:b w:val="0"/>
          <w:i w:val="0"/>
          <w:color w:val="202124"/>
          <w:sz w:val="22"/>
        </w:rPr>
        <w:t xml:space="preserve"> changing only the requested attribute could switch agentic behavior from a correct localized answer to persistent timeout.</w:t>
      </w:r>
    </w:p>
    <w:p>
      <w:pPr>
        <w:pStyle w:val="ListBullet"/>
      </w:pPr>
      <w:r>
        <w:rPr>
          <w:rFonts w:ascii="Calibri" w:hAnsi="Calibri"/>
          <w:b/>
          <w:i w:val="0"/>
          <w:color w:val="202124"/>
          <w:sz w:val="22"/>
        </w:rPr>
        <w:t>Strict-format violations:</w:t>
      </w:r>
      <w:r>
        <w:rPr>
          <w:rFonts w:ascii="Calibri" w:hAnsi="Calibri"/>
          <w:b w:val="0"/>
          <w:i w:val="0"/>
          <w:color w:val="202124"/>
          <w:sz w:val="22"/>
        </w:rPr>
        <w:t xml:space="preserve"> correct outputs were sometimes wrapped in Markdown code fences despite an explicit bare-JSON requirement. Semantic and strict scores should therefore remain separate.</w:t>
      </w:r>
    </w:p>
    <w:p>
      <w:pPr>
        <w:pStyle w:val="ListBullet"/>
      </w:pPr>
      <w:r>
        <w:rPr>
          <w:rFonts w:ascii="Calibri" w:hAnsi="Calibri"/>
          <w:b/>
          <w:i w:val="0"/>
          <w:color w:val="202124"/>
          <w:sz w:val="22"/>
        </w:rPr>
        <w:t>Transport instability:</w:t>
      </w:r>
      <w:r>
        <w:rPr>
          <w:rFonts w:ascii="Calibri" w:hAnsi="Calibri"/>
          <w:b w:val="0"/>
          <w:i w:val="0"/>
          <w:color w:val="202124"/>
          <w:sz w:val="22"/>
        </w:rPr>
        <w:t xml:space="preserve"> one Windows connection-abort error occurred; a later retry succeeded, so it was treated as an infrastructure failure rather than a model-quality error.</w:t>
      </w:r>
    </w:p>
    <w:p>
      <w:pPr>
        <w:pStyle w:val="Heading1"/>
      </w:pPr>
      <w:r>
        <w:t>7. Product and API feedback</w:t>
      </w:r>
    </w:p>
    <w:p>
      <w:pPr>
        <w:pStyle w:val="Heading2"/>
      </w:pPr>
      <w:r>
        <w:t>7.1 Discoverability and default behavior</w:t>
      </w:r>
    </w:p>
    <w:p>
      <w:r>
        <w:t>The static/agentic distinction is conceptually clear, and a per-video-part processing mode is appropriate when a request can contain heterogeneous inputs. However, agentic should remain an explicit opt-in rather than the unconditional default until convergence and timeout behavior improve. A safe automatic mode could select agentic only for tasks likely to benefit, with a bounded budget and static fallback.</w:t>
      </w:r>
    </w:p>
    <w:p>
      <w:pPr>
        <w:pStyle w:val="Heading2"/>
      </w:pPr>
      <w:r>
        <w:t>7.2 Controls requested</w:t>
      </w:r>
    </w:p>
    <w:p>
      <w:pPr>
        <w:pStyle w:val="ListBullet"/>
      </w:pPr>
      <w:r>
        <w:rPr>
          <w:rFonts w:ascii="Calibri" w:hAnsi="Calibri"/>
          <w:b w:val="0"/>
          <w:i w:val="0"/>
          <w:color w:val="202124"/>
          <w:sz w:val="22"/>
        </w:rPr>
        <w:t>A hard maximum video-inspection or reasoning budget, separate from the overall request timeout.</w:t>
      </w:r>
    </w:p>
    <w:p>
      <w:pPr>
        <w:pStyle w:val="ListBullet"/>
      </w:pPr>
      <w:r>
        <w:rPr>
          <w:rFonts w:ascii="Calibri" w:hAnsi="Calibri"/>
          <w:b w:val="0"/>
          <w:i w:val="0"/>
          <w:color w:val="202124"/>
          <w:sz w:val="22"/>
        </w:rPr>
        <w:t>A maximum number of re-watch/resampling steps and an explicit non-convergence termination reason.</w:t>
      </w:r>
    </w:p>
    <w:p>
      <w:pPr>
        <w:pStyle w:val="ListBullet"/>
      </w:pPr>
      <w:r>
        <w:rPr>
          <w:rFonts w:ascii="Calibri" w:hAnsi="Calibri"/>
          <w:b w:val="0"/>
          <w:i w:val="0"/>
          <w:color w:val="202124"/>
          <w:sz w:val="22"/>
        </w:rPr>
        <w:t>Optional forced strategies such as static, transcript-only, scan-and-focus, or bounded high-FPS resampling.</w:t>
      </w:r>
    </w:p>
    <w:p>
      <w:pPr>
        <w:pStyle w:val="ListBullet"/>
      </w:pPr>
      <w:r>
        <w:rPr>
          <w:rFonts w:ascii="Calibri" w:hAnsi="Calibri"/>
          <w:b w:val="0"/>
          <w:i w:val="0"/>
          <w:color w:val="202124"/>
          <w:sz w:val="22"/>
        </w:rPr>
        <w:t>A deterministic or lower-variance evaluation mode for reproducible benchmarking.</w:t>
      </w:r>
    </w:p>
    <w:p>
      <w:pPr>
        <w:pStyle w:val="ListBullet"/>
      </w:pPr>
      <w:r>
        <w:rPr>
          <w:rFonts w:ascii="Calibri" w:hAnsi="Calibri"/>
          <w:b w:val="0"/>
          <w:i w:val="0"/>
          <w:color w:val="202124"/>
          <w:sz w:val="22"/>
        </w:rPr>
        <w:t>A documented fallback policy, such as returning the best available answer or automatically retrying with static processing.</w:t>
      </w:r>
    </w:p>
    <w:p>
      <w:pPr>
        <w:pStyle w:val="Heading2"/>
      </w:pPr>
      <w:r>
        <w:t>7.3 Transparency</w:t>
      </w:r>
    </w:p>
    <w:p>
      <w:r>
        <w:t>Strategy traces would be highly useful for debugging, particularly timestamps inspected, frame rates selected, transcript usage, number of revisits, tokens consumed per inspection step and why execution terminated. This would help distinguish a perception failure from a poor search strategy or service-level stall. The trace should be structured metadata rather than only free-form thinking text.</w:t>
      </w:r>
    </w:p>
    <w:p>
      <w:pPr>
        <w:pStyle w:val="Heading2"/>
      </w:pPr>
      <w:r>
        <w:t>7.4 Migration and setup</w:t>
      </w:r>
    </w:p>
    <w:p>
      <w:r>
        <w:t>Once the EAP SDK was installed, changing the per-part processing field was straightforward and API-key authentication was sufficient; Vertex AI was not required for this evaluation. The main setup friction was downloading the unreleased wheel from the private Cloud Storage path: unauthenticated access produced a 401, while local Google Cloud credential-file permissions complicated authentication. A signed download, authenticated pip index, or Colab-hosted install cell would reduce onboarding friction.</w:t>
      </w:r>
    </w:p>
    <w:p>
      <w:pPr>
        <w:pStyle w:val="Heading1"/>
      </w:pPr>
      <w:r>
        <w:t>8. Recommendations</w:t>
      </w:r>
    </w:p>
    <w:p>
      <w:pPr>
        <w:pStyle w:val="ListBullet"/>
      </w:pPr>
      <w:r>
        <w:rPr>
          <w:rFonts w:ascii="Calibri" w:hAnsi="Calibri"/>
          <w:b w:val="0"/>
          <w:i w:val="0"/>
          <w:color w:val="202124"/>
          <w:sz w:val="22"/>
        </w:rPr>
        <w:t>Keep agentic processing opt-in for the present EAP and expose explicit budgets plus a static fallback.</w:t>
      </w:r>
    </w:p>
    <w:p>
      <w:pPr>
        <w:pStyle w:val="ListBullet"/>
      </w:pPr>
      <w:r>
        <w:rPr>
          <w:rFonts w:ascii="Calibri" w:hAnsi="Calibri"/>
          <w:b w:val="0"/>
          <w:i w:val="0"/>
          <w:color w:val="202124"/>
          <w:sz w:val="22"/>
        </w:rPr>
        <w:t>Prioritize non-convergence telemetry and deterministic reproduction of short-video hangs.</w:t>
      </w:r>
    </w:p>
    <w:p>
      <w:pPr>
        <w:pStyle w:val="ListBullet"/>
      </w:pPr>
      <w:r>
        <w:rPr>
          <w:rFonts w:ascii="Calibri" w:hAnsi="Calibri"/>
          <w:b w:val="0"/>
          <w:i w:val="0"/>
          <w:color w:val="202124"/>
          <w:sz w:val="22"/>
        </w:rPr>
        <w:t>Preserve and expand selective re-sampling: rapid fine-motion ordering was the most convincing capability gain.</w:t>
      </w:r>
    </w:p>
    <w:p>
      <w:pPr>
        <w:pStyle w:val="ListBullet"/>
      </w:pPr>
      <w:r>
        <w:rPr>
          <w:rFonts w:ascii="Calibri" w:hAnsi="Calibri"/>
          <w:b w:val="0"/>
          <w:i w:val="0"/>
          <w:color w:val="202124"/>
          <w:sz w:val="22"/>
        </w:rPr>
        <w:t>Evaluate quality, completion and efficiency jointly. Token reduction on completed calls alone can conceal reliability and retry costs.</w:t>
      </w:r>
    </w:p>
    <w:p>
      <w:pPr>
        <w:pStyle w:val="ListBullet"/>
      </w:pPr>
      <w:r>
        <w:rPr>
          <w:rFonts w:ascii="Calibri" w:hAnsi="Calibri"/>
          <w:b w:val="0"/>
          <w:i w:val="0"/>
          <w:color w:val="202124"/>
          <w:sz w:val="22"/>
        </w:rPr>
        <w:t>Add query-paraphrase robustness tests because semantically related questions on the same video triggered materially different behavior.</w:t>
      </w:r>
    </w:p>
    <w:p>
      <w:pPr>
        <w:pStyle w:val="ListBullet"/>
      </w:pPr>
      <w:r>
        <w:rPr>
          <w:rFonts w:ascii="Calibri" w:hAnsi="Calibri"/>
          <w:b w:val="0"/>
          <w:i w:val="0"/>
          <w:color w:val="202124"/>
          <w:sz w:val="22"/>
        </w:rPr>
        <w:t>Treat output-format compliance as an independent production metric, especially for machine-consumed responses.</w:t>
      </w:r>
    </w:p>
    <w:p>
      <w:pPr>
        <w:pStyle w:val="Heading1"/>
      </w:pPr>
      <w:r>
        <w:t>9. Limitations</w:t>
      </w:r>
    </w:p>
    <w:p>
      <w:r>
        <w:t>This was a small, purpose-built evaluation rather than a broad benchmark. The primary cohort contained 36 attempts across six synthetic tasks and short clips; it did not cover transcript-heavy medium or hour-long video. Diagnostic retries were selectively chosen and used a different timeout, so they should not be pooled with the primary rates. The small number of completed mode-pairs limits inference about average token and latency changes. Finally, EAP token accounting may differ from public-launch accounting, as noted in the program brief.</w:t>
      </w:r>
    </w:p>
    <w:p>
      <w:pPr>
        <w:pStyle w:val="Heading1"/>
      </w:pPr>
      <w:r>
        <w:t>10. Overall assessment</w:t>
      </w:r>
    </w:p>
    <w:tbl>
      <w:tblPr>
        <w:tblW w:type="dxa" w:w="9360"/>
        <w:tblLayout w:type="fixed"/>
        <w:tblLook w:firstColumn="1" w:firstRow="1" w:lastColumn="0" w:lastRow="0" w:noHBand="0" w:noVBand="1" w:val="04A0"/>
        <w:tblInd w:w="120" w:type="dxa"/>
      </w:tblPr>
      <w:tblGrid>
        <w:gridCol w:w="9360"/>
      </w:tblGrid>
      <w:tr>
        <w:tc>
          <w:tcPr>
            <w:tcW w:type="dxa" w:w="9360"/>
            <w:tcMar>
              <w:top w:w="140" w:type="dxa"/>
              <w:start w:w="160" w:type="dxa"/>
              <w:bottom w:w="140" w:type="dxa"/>
              <w:end w:w="160" w:type="dxa"/>
            </w:tcMar>
            <w:vAlign w:val="center"/>
            <w:shd w:fill="E8F0FE"/>
          </w:tcPr>
          <w:p>
            <w:pPr>
              <w:spacing w:after="0"/>
            </w:pPr>
            <w:r>
              <w:rPr>
                <w:rFonts w:ascii="Calibri" w:hAnsi="Calibri"/>
                <w:b/>
                <w:i w:val="0"/>
                <w:color w:val="1F4D78"/>
                <w:sz w:val="22"/>
              </w:rPr>
              <w:t xml:space="preserve">Conclusion. </w:t>
            </w:r>
            <w:r>
              <w:rPr>
                <w:rFonts w:ascii="Calibri" w:hAnsi="Calibri"/>
                <w:b w:val="0"/>
                <w:i w:val="0"/>
                <w:color w:val="202124"/>
                <w:sz w:val="22"/>
              </w:rPr>
              <w:t>Agentic video understanding already demonstrates a meaningful capability advantage where targeted high-fidelity viewing matters. The rapid-crossing result is a strong proof point. The current implementation is nevertheless too variable to serve as an unconditional replacement for static processing: persistent 600-second hangs, stochastic convergence and query sensitivity dominate the aggregate completion result. The best near-term product shape is controlled opt-in or bounded auto-selection with transparent strategy telemetry and reliable fallback.</w:t>
            </w:r>
          </w:p>
        </w:tc>
      </w:tr>
    </w:tbl>
    <w:p>
      <w:pPr>
        <w:spacing w:after="20"/>
      </w:pPr>
    </w:p>
    <w:p>
      <w:pPr>
        <w:pStyle w:val="Heading1"/>
      </w:pPr>
      <w:r>
        <w:t>Appendix A. Reproducibility notes</w:t>
      </w:r>
    </w:p>
    <w:p>
      <w:pPr>
        <w:pStyle w:val="ListBullet"/>
      </w:pPr>
      <w:r>
        <w:rPr>
          <w:rFonts w:ascii="Calibri" w:hAnsi="Calibri"/>
          <w:b w:val="0"/>
          <w:i w:val="0"/>
          <w:color w:val="202124"/>
          <w:sz w:val="22"/>
        </w:rPr>
        <w:t>Authentication: Gemini API key; no Vertex AI configuration.</w:t>
      </w:r>
    </w:p>
    <w:p>
      <w:pPr>
        <w:pStyle w:val="ListBullet"/>
      </w:pPr>
      <w:r>
        <w:rPr>
          <w:rFonts w:ascii="Calibri" w:hAnsi="Calibri"/>
          <w:b w:val="0"/>
          <w:i w:val="0"/>
          <w:color w:val="202124"/>
          <w:sz w:val="22"/>
        </w:rPr>
        <w:t>SDK: EAP google-genai 2.14.2 wheel supplied in the program email.</w:t>
      </w:r>
    </w:p>
    <w:p>
      <w:pPr>
        <w:pStyle w:val="ListBullet"/>
      </w:pPr>
      <w:r>
        <w:rPr>
          <w:rFonts w:ascii="Calibri" w:hAnsi="Calibri"/>
          <w:b w:val="0"/>
          <w:i w:val="0"/>
          <w:color w:val="202124"/>
          <w:sz w:val="22"/>
        </w:rPr>
        <w:t>Processing configuration: per-part static or agentic mode on the same uploaded video URI.</w:t>
      </w:r>
    </w:p>
    <w:p>
      <w:pPr>
        <w:pStyle w:val="ListBullet"/>
      </w:pPr>
      <w:r>
        <w:rPr>
          <w:rFonts w:ascii="Calibri" w:hAnsi="Calibri"/>
          <w:b w:val="0"/>
          <w:i w:val="0"/>
          <w:color w:val="202124"/>
          <w:sz w:val="22"/>
        </w:rPr>
        <w:t>Primary timeout: 180 seconds; diagnostic timeout: 600 seconds.</w:t>
      </w:r>
    </w:p>
    <w:p>
      <w:pPr>
        <w:pStyle w:val="ListBullet"/>
      </w:pPr>
      <w:r>
        <w:rPr>
          <w:rFonts w:ascii="Calibri" w:hAnsi="Calibri"/>
          <w:b w:val="0"/>
          <w:i w:val="0"/>
          <w:color w:val="202124"/>
          <w:sz w:val="22"/>
        </w:rPr>
        <w:t>Repetitions: three per task-mode pair in the primary suite.</w:t>
      </w:r>
    </w:p>
    <w:p>
      <w:pPr>
        <w:pStyle w:val="ListBullet"/>
      </w:pPr>
      <w:r>
        <w:rPr>
          <w:rFonts w:ascii="Calibri" w:hAnsi="Calibri"/>
          <w:b w:val="0"/>
          <w:i w:val="0"/>
          <w:color w:val="202124"/>
          <w:sz w:val="22"/>
        </w:rPr>
        <w:t>Evaluation artifacts retained: raw JSONL responses plus generated CSV and Markdown summaries.</w:t>
      </w:r>
    </w:p>
    <w:sectPr w:rsidR="00FC693F" w:rsidRPr="0006063C" w:rsidSect="00034616">
      <w:headerReference w:type="default" r:id="rId9"/>
      <w:footerReference w:type="default" r:id="rId10"/>
      <w:pgSz w:w="12240" w:h="15840"/>
      <w:pgMar w:top="144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368"/>
        <w:sz w:val="16"/>
      </w:rPr>
      <w:t xml:space="preserve">Victor Ashioya | 17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F6368"/>
        <w:sz w:val="16"/>
      </w:rPr>
      <w:t>CONFIDENTIAL - GEMINI API EAP FEEDBACK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20212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F636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Video Understanding EAP Evaluation Report</dc:title>
  <dc:subject>Confidential feedback on Gemini 3.6 Flash Video Understanding EAP</dc:subject>
  <dc:creator>Victor Ashioya</dc:creator>
  <cp:keywords>Gemini API, EAP, agentic video understanding, evaluation</cp:keywords>
  <dc:description>generated by python-docx</dc:description>
  <cp:lastModifiedBy/>
  <cp:revision>1</cp:revision>
  <dcterms:created xsi:type="dcterms:W3CDTF">2013-12-23T23:15:00Z</dcterms:created>
  <dcterms:modified xsi:type="dcterms:W3CDTF">2013-12-23T23:15:00Z</dcterms:modified>
  <cp:category/>
</cp:coreProperties>
</file>