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Carrier Ethernet Service Specification v2.1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2023-01-15</w:t>
            </w:r>
          </w:p>
        </w:tc>
        <w:tc>
          <w:tcPr>
            <w:tcW w:type="dxa" w:w="2160"/>
          </w:tcPr>
          <w:p>
            <w:r>
              <w:t>J. Smith</w:t>
            </w:r>
          </w:p>
        </w:tc>
        <w:tc>
          <w:tcPr>
            <w:tcW w:type="dxa" w:w="2160"/>
          </w:tcPr>
          <w:p>
            <w:r>
              <w:t>Initial release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2024-03-02</w:t>
            </w:r>
          </w:p>
        </w:tc>
        <w:tc>
          <w:tcPr>
            <w:tcW w:type="dxa" w:w="2160"/>
          </w:tcPr>
          <w:p>
            <w:r>
              <w:t>A. Lee</w:t>
            </w:r>
          </w:p>
        </w:tc>
        <w:tc>
          <w:tcPr>
            <w:tcW w:type="dxa" w:w="2160"/>
          </w:tcPr>
          <w:p>
            <w:r>
              <w:t>Added UNI section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2025-06-30</w:t>
            </w:r>
          </w:p>
        </w:tc>
        <w:tc>
          <w:tcPr>
            <w:tcW w:type="dxa" w:w="2160"/>
          </w:tcPr>
          <w:p>
            <w:r>
              <w:t>A. Lee</w:t>
            </w:r>
          </w:p>
        </w:tc>
        <w:tc>
          <w:tcPr>
            <w:tcW w:type="dxa" w:w="2160"/>
          </w:tcPr>
          <w:p>
            <w:r>
              <w:t>Editorial fixes</w:t>
            </w:r>
          </w:p>
        </w:tc>
      </w:tr>
    </w:tbl>
    <w:p>
      <w:pPr>
        <w:pStyle w:val="Heading1"/>
      </w:pPr>
      <w:r>
        <w:t>1 Introduction</w:t>
      </w:r>
    </w:p>
    <w:p>
      <w:r>
        <w:t>This document specifies the service attributes of an Ethernet Virtual Connection (EVC) delivered by a Service Provider to a Subscriber. The EVC is an association of two or more UNIs that limits the exchange of Service Frames.</w:t>
      </w:r>
    </w:p>
    <w:p>
      <w:r>
        <w:t>Figure 2 – Reference model</w:t>
      </w:r>
    </w:p>
    <w:p>
      <w:pPr>
        <w:pStyle w:val="Heading1"/>
      </w:pPr>
      <w:r>
        <w:t>4 Service Attributes</w:t>
      </w:r>
    </w:p>
    <w:p>
      <w:pPr>
        <w:pStyle w:val="Heading2"/>
      </w:pPr>
      <w:r>
        <w:t>4.3 EVC Service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Attribute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Units</w:t>
            </w:r>
          </w:p>
        </w:tc>
        <w:tc>
          <w:tcPr>
            <w:tcW w:type="dxa" w:w="1234"/>
          </w:tcPr>
          <w:p>
            <w:r>
              <w:t>M/O/C</w:t>
            </w:r>
          </w:p>
        </w:tc>
        <w:tc>
          <w:tcPr>
            <w:tcW w:type="dxa" w:w="1234"/>
          </w:tcPr>
          <w:p>
            <w:r>
              <w:t>Range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CIR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Mbps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10–1000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Committed Information Rate for the EVC</w:t>
            </w:r>
          </w:p>
        </w:tc>
      </w:tr>
      <w:tr>
        <w:tc>
          <w:tcPr>
            <w:tcW w:type="dxa" w:w="1234"/>
          </w:tcPr>
          <w:p>
            <w:r>
              <w:t>EIR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Mbps</w:t>
            </w:r>
          </w:p>
        </w:tc>
        <w:tc>
          <w:tcPr>
            <w:tcW w:type="dxa" w:w="1234"/>
          </w:tcPr>
          <w:p>
            <w:r>
              <w:t>O</w:t>
            </w:r>
          </w:p>
        </w:tc>
        <w:tc>
          <w:tcPr>
            <w:tcW w:type="dxa" w:w="1234"/>
          </w:tcPr>
          <w:p>
            <w:r>
              <w:t>0–1000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Excess Information Rate for the EVC</w:t>
            </w:r>
          </w:p>
        </w:tc>
      </w:tr>
      <w:tr>
        <w:tc>
          <w:tcPr>
            <w:tcW w:type="dxa" w:w="1234"/>
          </w:tcPr>
          <w:p>
            <w:r>
              <w:t>EVC ID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Unique identifier for the EVC assigned by the Service Provider</w:t>
            </w:r>
          </w:p>
        </w:tc>
      </w:tr>
      <w:tr>
        <w:tc>
          <w:tcPr>
            <w:tcW w:type="dxa" w:w="1234"/>
          </w:tcPr>
          <w:p>
            <w:r>
              <w:t>Service Type</w:t>
            </w:r>
          </w:p>
        </w:tc>
        <w:tc>
          <w:tcPr>
            <w:tcW w:type="dxa" w:w="1234"/>
          </w:tcPr>
          <w:p>
            <w:r>
              <w:t>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Point-to-Point, Multipoint-to-Multipoint</w:t>
            </w:r>
          </w:p>
        </w:tc>
        <w:tc>
          <w:tcPr>
            <w:tcW w:type="dxa" w:w="1234"/>
          </w:tcPr>
          <w:p>
            <w:r>
              <w:t>Point-to-Point</w:t>
            </w:r>
          </w:p>
        </w:tc>
        <w:tc>
          <w:tcPr>
            <w:tcW w:type="dxa" w:w="1234"/>
          </w:tcPr>
          <w:p>
            <w:r>
              <w:t>Connectivity type of the EVC</w:t>
            </w:r>
          </w:p>
        </w:tc>
      </w:tr>
      <w:tr>
        <w:tc>
          <w:tcPr>
            <w:tcW w:type="dxa" w:w="1234"/>
          </w:tcPr>
          <w:p>
            <w:r>
              <w:t>CoS Name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Standard</w:t>
            </w:r>
          </w:p>
        </w:tc>
        <w:tc>
          <w:tcPr>
            <w:tcW w:type="dxa" w:w="1234"/>
          </w:tcPr>
          <w:p>
            <w:r>
              <w:t>Class of Service name applied to the EVC</w:t>
            </w:r>
          </w:p>
        </w:tc>
      </w:tr>
    </w:tbl>
    <w:p>
      <w:r>
        <w:t>Table 3 – EVC Service Attributes</w:t>
      </w:r>
    </w:p>
    <w:p>
      <w:pPr>
        <w:pStyle w:val="Heading1"/>
      </w:pPr>
      <w:r>
        <w:t>5 UNI</w:t>
      </w:r>
    </w:p>
    <w:p>
      <w:r>
        <w:t>The UNI has a port speed of 1 Gbps. Each UNI SHALL have a physical medium and a MAC address. There are 12 such UNIs in the reference deployment.</w:t>
      </w:r>
    </w:p>
    <w:p>
      <w:pPr>
        <w:pStyle w:val="Heading2"/>
      </w:pPr>
      <w:r>
        <w:t>5.1 UNI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Attribute</w:t>
            </w:r>
          </w:p>
        </w:tc>
        <w:tc>
          <w:tcPr>
            <w:tcW w:type="dxa" w:w="1234"/>
          </w:tcPr>
          <w:p>
            <w:r>
              <w:t>Type</w:t>
            </w:r>
          </w:p>
        </w:tc>
        <w:tc>
          <w:tcPr>
            <w:tcW w:type="dxa" w:w="1234"/>
          </w:tcPr>
          <w:p>
            <w:r>
              <w:t>Units</w:t>
            </w:r>
          </w:p>
        </w:tc>
        <w:tc>
          <w:tcPr>
            <w:tcW w:type="dxa" w:w="1234"/>
          </w:tcPr>
          <w:p>
            <w:r>
              <w:t>M/O/C</w:t>
            </w:r>
          </w:p>
        </w:tc>
        <w:tc>
          <w:tcPr>
            <w:tcW w:type="dxa" w:w="1234"/>
          </w:tcPr>
          <w:p>
            <w:r>
              <w:t>Range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Port Speed</w:t>
            </w:r>
          </w:p>
        </w:tc>
        <w:tc>
          <w:tcPr>
            <w:tcW w:type="dxa" w:w="1234"/>
          </w:tcPr>
          <w:p>
            <w:r>
              <w:t>Integer</w:t>
            </w:r>
          </w:p>
        </w:tc>
        <w:tc>
          <w:tcPr>
            <w:tcW w:type="dxa" w:w="1234"/>
          </w:tcPr>
          <w:p>
            <w:r>
              <w:t>Mbps</w:t>
            </w:r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10, 100, 1000, 10000</w:t>
            </w:r>
          </w:p>
        </w:tc>
        <w:tc>
          <w:tcPr>
            <w:tcW w:type="dxa" w:w="1234"/>
          </w:tcPr>
          <w:p>
            <w:r>
              <w:t>1000</w:t>
            </w:r>
          </w:p>
        </w:tc>
        <w:tc>
          <w:tcPr>
            <w:tcW w:type="dxa" w:w="1234"/>
          </w:tcPr>
          <w:p>
            <w:r>
              <w:t>Physical port speed of the UNI</w:t>
            </w:r>
          </w:p>
        </w:tc>
      </w:tr>
      <w:tr>
        <w:tc>
          <w:tcPr>
            <w:tcW w:type="dxa" w:w="1234"/>
          </w:tcPr>
          <w:p>
            <w:r>
              <w:t>Physical Medium</w:t>
            </w:r>
          </w:p>
        </w:tc>
        <w:tc>
          <w:tcPr>
            <w:tcW w:type="dxa" w:w="1234"/>
          </w:tcPr>
          <w:p>
            <w:r>
              <w:t>Enum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>
              <w:t>Copper, Fibre</w:t>
            </w:r>
          </w:p>
        </w:tc>
        <w:tc>
          <w:tcPr>
            <w:tcW w:type="dxa" w:w="1234"/>
          </w:tcPr>
          <w:p>
            <w:r>
              <w:t>Fibre</w:t>
            </w:r>
          </w:p>
        </w:tc>
        <w:tc>
          <w:tcPr>
            <w:tcW w:type="dxa" w:w="1234"/>
          </w:tcPr>
          <w:p>
            <w:r>
              <w:t>Physical medium of the UNI</w:t>
            </w:r>
          </w:p>
        </w:tc>
      </w:tr>
      <w:tr>
        <w:tc>
          <w:tcPr>
            <w:tcW w:type="dxa" w:w="1234"/>
          </w:tcPr>
          <w:p>
            <w:r>
              <w:t>MAC Address</w:t>
            </w:r>
          </w:p>
        </w:tc>
        <w:tc>
          <w:tcPr>
            <w:tcW w:type="dxa" w:w="1234"/>
          </w:tcPr>
          <w:p>
            <w:r>
              <w:t>String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MAC address of the UNI port</w:t>
            </w:r>
          </w:p>
        </w:tc>
      </w:tr>
    </w:tbl>
    <w:p>
      <w:pPr>
        <w:pStyle w:val="Heading1"/>
      </w:pPr>
      <w:r>
        <w:t>6 Subscriber</w:t>
      </w:r>
    </w:p>
    <w:p>
      <w:r>
        <w:t>Each Subscriber SHALL have an IMSI and an MSISDN. The Subscriber's MSISDN is an E.164 number such as +447700900123. The Order is created, submitted and terminated by the operator. Provisioning of the service takes up to 5 working days.</w:t>
      </w:r>
    </w:p>
    <w:p>
      <w:pPr>
        <w:pStyle w:val="Heading1"/>
      </w:pPr>
      <w:r>
        <w:t>7 Service Provider</w:t>
      </w:r>
    </w:p>
    <w:p>
      <w:r>
        <w:t>The Service Provider allocates the EVC ID and maintains the Ethernet Virtual Connection for the duration of the contract.</w:t>
      </w:r>
    </w:p>
    <w:p>
      <w:r>
        <w:t>Page 3 of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Carrier Ethernet Service Specification v2.1</dc:title>
  <dc:subject/>
  <dc:creator>Doc Extractor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