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80"/>
        <w:jc w:val="left"/>
      </w:pPr>
      <w:r>
        <w:rPr>
          <w:rFonts w:ascii="Calibri" w:hAnsi="Calibri"/>
          <w:b/>
          <w:i w:val="0"/>
          <w:color w:val="12324B"/>
          <w:sz w:val="54"/>
        </w:rPr>
        <w:t>NeuroVibe Replanned Architecture</w:t>
      </w:r>
    </w:p>
    <w:p>
      <w:pPr>
        <w:spacing w:after="400"/>
      </w:pPr>
      <w:r>
        <w:rPr>
          <w:rFonts w:ascii="Calibri" w:hAnsi="Calibri"/>
          <w:b w:val="0"/>
          <w:i w:val="0"/>
          <w:color w:val="557082"/>
          <w:sz w:val="28"/>
        </w:rPr>
        <w:t>Version 2 — complete product, device, backend, data, and operational design</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vAlign w:val="center"/>
            <w:tcMar>
              <w:top w:w="90" w:type="dxa"/>
              <w:start w:w="120" w:type="dxa"/>
              <w:bottom w:w="90" w:type="dxa"/>
              <w:end w:w="120" w:type="dxa"/>
            </w:tcMar>
            <w:shd w:fill="F2F4F7"/>
          </w:tcPr>
          <w:p>
            <w:pPr>
              <w:spacing w:after="0"/>
            </w:pPr>
            <w:r>
              <w:rPr>
                <w:rFonts w:ascii="Calibri" w:hAnsi="Calibri"/>
                <w:b/>
                <w:i w:val="0"/>
                <w:color w:val="12324B"/>
                <w:sz w:val="20"/>
              </w:rPr>
              <w:t>Status</w:t>
            </w:r>
          </w:p>
        </w:tc>
        <w:tc>
          <w:tcPr>
            <w:tcW w:type="dxa" w:w="7060"/>
            <w:vAlign w:val="center"/>
            <w:tcMar>
              <w:top w:w="90" w:type="dxa"/>
              <w:start w:w="120" w:type="dxa"/>
              <w:bottom w:w="90" w:type="dxa"/>
              <w:end w:w="120" w:type="dxa"/>
            </w:tcMar>
          </w:tcPr>
          <w:p>
            <w:pPr>
              <w:spacing w:after="0"/>
            </w:pPr>
            <w:r>
              <w:rPr>
                <w:rFonts w:ascii="Calibri" w:hAnsi="Calibri"/>
                <w:b w:val="0"/>
                <w:i w:val="0"/>
                <w:color w:val="12324B"/>
                <w:sz w:val="20"/>
              </w:rPr>
              <w:t>Replanned draft for senior review</w:t>
            </w:r>
          </w:p>
        </w:tc>
      </w:tr>
      <w:tr>
        <w:tc>
          <w:tcPr>
            <w:tcW w:type="dxa" w:w="2300"/>
            <w:vAlign w:val="center"/>
            <w:tcMar>
              <w:top w:w="90" w:type="dxa"/>
              <w:start w:w="120" w:type="dxa"/>
              <w:bottom w:w="90" w:type="dxa"/>
              <w:end w:w="120" w:type="dxa"/>
            </w:tcMar>
            <w:shd w:fill="F2F4F7"/>
          </w:tcPr>
          <w:p>
            <w:pPr>
              <w:spacing w:after="0"/>
            </w:pPr>
            <w:r>
              <w:rPr>
                <w:rFonts w:ascii="Calibri" w:hAnsi="Calibri"/>
                <w:b/>
                <w:i w:val="0"/>
                <w:color w:val="12324B"/>
                <w:sz w:val="20"/>
              </w:rPr>
              <w:t>Design objective</w:t>
            </w:r>
          </w:p>
        </w:tc>
        <w:tc>
          <w:tcPr>
            <w:tcW w:type="dxa" w:w="7060"/>
            <w:vAlign w:val="center"/>
            <w:tcMar>
              <w:top w:w="90" w:type="dxa"/>
              <w:start w:w="120" w:type="dxa"/>
              <w:bottom w:w="90" w:type="dxa"/>
              <w:end w:w="120" w:type="dxa"/>
            </w:tcMar>
          </w:tcPr>
          <w:p>
            <w:pPr>
              <w:spacing w:after="0"/>
            </w:pPr>
            <w:r>
              <w:rPr>
                <w:rFonts w:ascii="Calibri" w:hAnsi="Calibri"/>
                <w:b w:val="0"/>
                <w:i w:val="0"/>
                <w:color w:val="12324B"/>
                <w:sz w:val="20"/>
              </w:rPr>
              <w:t>Simple doctor and patient actions; robust backend and offline behavior</w:t>
            </w:r>
          </w:p>
        </w:tc>
      </w:tr>
      <w:tr>
        <w:tc>
          <w:tcPr>
            <w:tcW w:type="dxa" w:w="2300"/>
            <w:vAlign w:val="center"/>
            <w:tcMar>
              <w:top w:w="90" w:type="dxa"/>
              <w:start w:w="120" w:type="dxa"/>
              <w:bottom w:w="90" w:type="dxa"/>
              <w:end w:w="120" w:type="dxa"/>
            </w:tcMar>
            <w:shd w:fill="F2F4F7"/>
          </w:tcPr>
          <w:p>
            <w:pPr>
              <w:spacing w:after="0"/>
            </w:pPr>
            <w:r>
              <w:rPr>
                <w:rFonts w:ascii="Calibri" w:hAnsi="Calibri"/>
                <w:b/>
                <w:i w:val="0"/>
                <w:color w:val="12324B"/>
                <w:sz w:val="20"/>
              </w:rPr>
              <w:t>Platforms</w:t>
            </w:r>
          </w:p>
        </w:tc>
        <w:tc>
          <w:tcPr>
            <w:tcW w:type="dxa" w:w="7060"/>
            <w:vAlign w:val="center"/>
            <w:tcMar>
              <w:top w:w="90" w:type="dxa"/>
              <w:start w:w="120" w:type="dxa"/>
              <w:bottom w:w="90" w:type="dxa"/>
              <w:end w:w="120" w:type="dxa"/>
            </w:tcMar>
          </w:tcPr>
          <w:p>
            <w:pPr>
              <w:spacing w:after="0"/>
            </w:pPr>
            <w:r>
              <w:rPr>
                <w:rFonts w:ascii="Calibri" w:hAnsi="Calibri"/>
                <w:b w:val="0"/>
                <w:i w:val="0"/>
                <w:color w:val="12324B"/>
                <w:sz w:val="20"/>
              </w:rPr>
              <w:t>Doctor web portal, NeuroVibe patient app, NeuroSense ESP32-C3</w:t>
            </w:r>
          </w:p>
        </w:tc>
      </w:tr>
      <w:tr>
        <w:tc>
          <w:tcPr>
            <w:tcW w:type="dxa" w:w="2300"/>
            <w:vAlign w:val="center"/>
            <w:tcMar>
              <w:top w:w="90" w:type="dxa"/>
              <w:start w:w="120" w:type="dxa"/>
              <w:bottom w:w="90" w:type="dxa"/>
              <w:end w:w="120" w:type="dxa"/>
            </w:tcMar>
            <w:shd w:fill="F2F4F7"/>
          </w:tcPr>
          <w:p>
            <w:pPr>
              <w:spacing w:after="0"/>
            </w:pPr>
            <w:r>
              <w:rPr>
                <w:rFonts w:ascii="Calibri" w:hAnsi="Calibri"/>
                <w:b/>
                <w:i w:val="0"/>
                <w:color w:val="12324B"/>
                <w:sz w:val="20"/>
              </w:rPr>
              <w:t>Prepared</w:t>
            </w:r>
          </w:p>
        </w:tc>
        <w:tc>
          <w:tcPr>
            <w:tcW w:type="dxa" w:w="7060"/>
            <w:vAlign w:val="center"/>
            <w:tcMar>
              <w:top w:w="90" w:type="dxa"/>
              <w:start w:w="120" w:type="dxa"/>
              <w:bottom w:w="90" w:type="dxa"/>
              <w:end w:w="120" w:type="dxa"/>
            </w:tcMar>
          </w:tcPr>
          <w:p>
            <w:pPr>
              <w:spacing w:after="0"/>
            </w:pPr>
            <w:r>
              <w:rPr>
                <w:rFonts w:ascii="Calibri" w:hAnsi="Calibri"/>
                <w:b w:val="0"/>
                <w:i w:val="0"/>
                <w:color w:val="12324B"/>
                <w:sz w:val="20"/>
              </w:rPr>
              <w:t>13 July 2026</w:t>
            </w:r>
          </w:p>
        </w:tc>
      </w:tr>
    </w:tbl>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4F8FA"/>
          </w:tcPr>
          <w:p>
            <w:pPr>
              <w:spacing w:after="60"/>
            </w:pPr>
            <w:r>
              <w:rPr>
                <w:rFonts w:ascii="Calibri" w:hAnsi="Calibri"/>
                <w:b/>
                <w:i w:val="0"/>
                <w:color w:val="146C94"/>
                <w:sz w:val="22"/>
              </w:rPr>
              <w:t>Replanning decision</w:t>
            </w:r>
          </w:p>
          <w:p>
            <w:pPr>
              <w:spacing w:after="0"/>
            </w:pPr>
            <w:r>
              <w:rPr>
                <w:rFonts w:ascii="Calibri" w:hAnsi="Calibri"/>
                <w:b w:val="0"/>
                <w:i w:val="0"/>
                <w:color w:val="12324B"/>
                <w:sz w:val="21"/>
              </w:rPr>
              <w:t>The central server is the source of truth. NeuroSense and NeuroVibe are durable offline clients. Device assignment, patient enrollment, therapy schedules, session records, replacement, and exit are separate historical lifecycles rather than one editable device record.</w:t>
            </w:r>
          </w:p>
        </w:tc>
      </w:tr>
    </w:tbl>
    <w:p>
      <w:pPr>
        <w:spacing w:after="0"/>
      </w:pPr>
    </w:p>
    <w:p>
      <w:r>
        <w:br w:type="page"/>
      </w:r>
    </w:p>
    <w:p>
      <w:pPr>
        <w:pStyle w:val="Heading1"/>
      </w:pPr>
      <w:r>
        <w:t>1. Product Definition</w:t>
      </w:r>
    </w:p>
    <w:p>
      <w:r>
        <w:t>NeuroVibe is a doctor-managed, patient-operated vibration-session system. The doctor creates the care relationship and defines what the patient may do. The patient uses a dedicated app to commission the assigned NeuroSense device and run scheduled sessions. NeuroSense records device-generated usage events, even when both Wi-Fi and phone internet are unavailable.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4F8FA"/>
          </w:tcPr>
          <w:p>
            <w:pPr>
              <w:spacing w:after="60"/>
            </w:pPr>
            <w:r>
              <w:rPr>
                <w:rFonts w:ascii="Calibri" w:hAnsi="Calibri"/>
                <w:b/>
                <w:i w:val="0"/>
                <w:color w:val="146C94"/>
                <w:sz w:val="22"/>
              </w:rPr>
              <w:t>User-experience target</w:t>
            </w:r>
          </w:p>
          <w:p>
            <w:pPr>
              <w:spacing w:after="0"/>
            </w:pPr>
            <w:r>
              <w:rPr>
                <w:rFonts w:ascii="Calibri" w:hAnsi="Calibri"/>
                <w:b w:val="0"/>
                <w:i w:val="0"/>
                <w:color w:val="12324B"/>
                <w:sz w:val="21"/>
              </w:rPr>
              <w:t>Doctor: Create patient → Assign device → Schedule sessions → Review results. Patient: Accept invite → Connect device → Start scheduled session. All technical synchronization happens in the background.</w:t>
            </w:r>
          </w:p>
        </w:tc>
      </w:tr>
    </w:tbl>
    <w:p>
      <w:pPr>
        <w:spacing w:after="0"/>
      </w:pPr>
    </w:p>
    <w:p>
      <w:pPr>
        <w:pStyle w:val="Heading1"/>
      </w:pPr>
      <w:r>
        <w:t>2. Correct Domain Model</w:t>
      </w:r>
    </w:p>
    <w:p>
      <w:r>
        <w:t>Doctor and patient are user roles, not the only database entities. A reliable system also requires devices, assignments, care plans, schedules, sessions, synchronization receipts, and audit records.</w:t>
      </w:r>
    </w:p>
    <w:tbl>
      <w:tblPr>
        <w:tblW w:type="dxa" w:w="9360"/>
        <w:jc w:val="left"/>
        <w:tblLayout w:type="fixed"/>
        <w:tblLook w:firstColumn="1" w:firstRow="1" w:lastColumn="0" w:lastRow="0" w:noHBand="0" w:noVBand="1" w:val="04A0"/>
        <w:tblInd w:w="120" w:type="dxa"/>
      </w:tblPr>
      <w:tblGrid>
        <w:gridCol w:w="2200"/>
        <w:gridCol w:w="4700"/>
        <w:gridCol w:w="2460"/>
      </w:tblGrid>
      <w:tr>
        <w:trPr>
          <w:tblHeader w:val="true"/>
        </w:trPr>
        <w:tc>
          <w:tcPr>
            <w:tcW w:type="dxa" w:w="2200"/>
            <w:vAlign w:val="center"/>
            <w:tcMar>
              <w:top w:w="90" w:type="dxa"/>
              <w:start w:w="120" w:type="dxa"/>
              <w:bottom w:w="90" w:type="dxa"/>
              <w:end w:w="120" w:type="dxa"/>
            </w:tcMar>
            <w:shd w:fill="F2F4F7"/>
          </w:tcPr>
          <w:p>
            <w:pPr>
              <w:spacing w:after="0"/>
            </w:pPr>
            <w:r>
              <w:rPr>
                <w:rFonts w:ascii="Calibri" w:hAnsi="Calibri"/>
                <w:b/>
                <w:i w:val="0"/>
                <w:color w:val="12324B"/>
                <w:sz w:val="20"/>
              </w:rPr>
              <w:t>Domain object</w:t>
            </w:r>
          </w:p>
        </w:tc>
        <w:tc>
          <w:tcPr>
            <w:tcW w:type="dxa" w:w="4700"/>
            <w:vAlign w:val="center"/>
            <w:tcMar>
              <w:top w:w="90" w:type="dxa"/>
              <w:start w:w="120" w:type="dxa"/>
              <w:bottom w:w="90" w:type="dxa"/>
              <w:end w:w="120" w:type="dxa"/>
            </w:tcMar>
            <w:shd w:fill="F2F4F7"/>
          </w:tcPr>
          <w:p>
            <w:pPr>
              <w:spacing w:after="0"/>
            </w:pPr>
            <w:r>
              <w:rPr>
                <w:rFonts w:ascii="Calibri" w:hAnsi="Calibri"/>
                <w:b/>
                <w:i w:val="0"/>
                <w:color w:val="12324B"/>
                <w:sz w:val="20"/>
              </w:rPr>
              <w:t>Purpose</w:t>
            </w:r>
          </w:p>
        </w:tc>
        <w:tc>
          <w:tcPr>
            <w:tcW w:type="dxa" w:w="2460"/>
            <w:vAlign w:val="center"/>
            <w:tcMar>
              <w:top w:w="90" w:type="dxa"/>
              <w:start w:w="120" w:type="dxa"/>
              <w:bottom w:w="90" w:type="dxa"/>
              <w:end w:w="120" w:type="dxa"/>
            </w:tcMar>
            <w:shd w:fill="F2F4F7"/>
          </w:tcPr>
          <w:p>
            <w:pPr>
              <w:spacing w:after="0"/>
            </w:pPr>
            <w:r>
              <w:rPr>
                <w:rFonts w:ascii="Calibri" w:hAnsi="Calibri"/>
                <w:b/>
                <w:i w:val="0"/>
                <w:color w:val="12324B"/>
                <w:sz w:val="20"/>
              </w:rPr>
              <w:t>Lifecycle owner</w:t>
            </w:r>
          </w:p>
        </w:tc>
      </w:tr>
      <w:tr>
        <w:tc>
          <w:tcPr>
            <w:tcW w:type="dxa" w:w="2200"/>
          </w:tcPr>
          <w:p>
            <w:pPr>
              <w:spacing w:after="0"/>
            </w:pPr>
            <w:r>
              <w:rPr>
                <w:rFonts w:ascii="Calibri" w:hAnsi="Calibri"/>
                <w:b w:val="0"/>
                <w:i w:val="0"/>
                <w:color w:val="12324B"/>
                <w:sz w:val="19"/>
              </w:rPr>
              <w:t>Doctor account</w:t>
            </w:r>
          </w:p>
        </w:tc>
        <w:tc>
          <w:tcPr>
            <w:tcW w:type="dxa" w:w="4700"/>
          </w:tcPr>
          <w:p>
            <w:pPr>
              <w:spacing w:after="0"/>
            </w:pPr>
            <w:r>
              <w:rPr>
                <w:rFonts w:ascii="Calibri" w:hAnsi="Calibri"/>
                <w:b w:val="0"/>
                <w:i w:val="0"/>
                <w:color w:val="12324B"/>
                <w:sz w:val="19"/>
              </w:rPr>
              <w:t>Authenticates the clinician/admin and scopes accessible patients.</w:t>
            </w:r>
          </w:p>
        </w:tc>
        <w:tc>
          <w:tcPr>
            <w:tcW w:type="dxa" w:w="2460"/>
          </w:tcPr>
          <w:p>
            <w:pPr>
              <w:spacing w:after="0"/>
            </w:pPr>
            <w:r>
              <w:rPr>
                <w:rFonts w:ascii="Calibri" w:hAnsi="Calibri"/>
                <w:b w:val="0"/>
                <w:i w:val="0"/>
                <w:color w:val="12324B"/>
                <w:sz w:val="19"/>
              </w:rPr>
              <w:t>Organization/admin</w:t>
            </w:r>
          </w:p>
        </w:tc>
      </w:tr>
      <w:tr>
        <w:tc>
          <w:tcPr>
            <w:tcW w:type="dxa" w:w="2200"/>
          </w:tcPr>
          <w:p>
            <w:pPr>
              <w:spacing w:after="0"/>
            </w:pPr>
            <w:r>
              <w:rPr>
                <w:rFonts w:ascii="Calibri" w:hAnsi="Calibri"/>
                <w:b w:val="0"/>
                <w:i w:val="0"/>
                <w:color w:val="12324B"/>
                <w:sz w:val="19"/>
              </w:rPr>
              <w:t>Patient account/profile</w:t>
            </w:r>
          </w:p>
        </w:tc>
        <w:tc>
          <w:tcPr>
            <w:tcW w:type="dxa" w:w="4700"/>
          </w:tcPr>
          <w:p>
            <w:pPr>
              <w:spacing w:after="0"/>
            </w:pPr>
            <w:r>
              <w:rPr>
                <w:rFonts w:ascii="Calibri" w:hAnsi="Calibri"/>
                <w:b w:val="0"/>
                <w:i w:val="0"/>
                <w:color w:val="12324B"/>
                <w:sz w:val="19"/>
              </w:rPr>
              <w:t>Represents the user, consent state, and program status.</w:t>
            </w:r>
          </w:p>
        </w:tc>
        <w:tc>
          <w:tcPr>
            <w:tcW w:type="dxa" w:w="2460"/>
          </w:tcPr>
          <w:p>
            <w:pPr>
              <w:spacing w:after="0"/>
            </w:pPr>
            <w:r>
              <w:rPr>
                <w:rFonts w:ascii="Calibri" w:hAnsi="Calibri"/>
                <w:b w:val="0"/>
                <w:i w:val="0"/>
                <w:color w:val="12324B"/>
                <w:sz w:val="19"/>
              </w:rPr>
              <w:t>Doctor with patient participation</w:t>
            </w:r>
          </w:p>
        </w:tc>
      </w:tr>
      <w:tr>
        <w:tc>
          <w:tcPr>
            <w:tcW w:type="dxa" w:w="2200"/>
          </w:tcPr>
          <w:p>
            <w:pPr>
              <w:spacing w:after="0"/>
            </w:pPr>
            <w:r>
              <w:rPr>
                <w:rFonts w:ascii="Calibri" w:hAnsi="Calibri"/>
                <w:b w:val="0"/>
                <w:i w:val="0"/>
                <w:color w:val="12324B"/>
                <w:sz w:val="19"/>
              </w:rPr>
              <w:t>Device</w:t>
            </w:r>
          </w:p>
        </w:tc>
        <w:tc>
          <w:tcPr>
            <w:tcW w:type="dxa" w:w="4700"/>
          </w:tcPr>
          <w:p>
            <w:pPr>
              <w:spacing w:after="0"/>
            </w:pPr>
            <w:r>
              <w:rPr>
                <w:rFonts w:ascii="Calibri" w:hAnsi="Calibri"/>
                <w:b w:val="0"/>
                <w:i w:val="0"/>
                <w:color w:val="12324B"/>
                <w:sz w:val="19"/>
              </w:rPr>
              <w:t>Permanent hardware identity and current inventory condition.</w:t>
            </w:r>
          </w:p>
        </w:tc>
        <w:tc>
          <w:tcPr>
            <w:tcW w:type="dxa" w:w="2460"/>
          </w:tcPr>
          <w:p>
            <w:pPr>
              <w:spacing w:after="0"/>
            </w:pPr>
            <w:r>
              <w:rPr>
                <w:rFonts w:ascii="Calibri" w:hAnsi="Calibri"/>
                <w:b w:val="0"/>
                <w:i w:val="0"/>
                <w:color w:val="12324B"/>
                <w:sz w:val="19"/>
              </w:rPr>
              <w:t>Organization</w:t>
            </w:r>
          </w:p>
        </w:tc>
      </w:tr>
      <w:tr>
        <w:tc>
          <w:tcPr>
            <w:tcW w:type="dxa" w:w="2200"/>
          </w:tcPr>
          <w:p>
            <w:pPr>
              <w:spacing w:after="0"/>
            </w:pPr>
            <w:r>
              <w:rPr>
                <w:rFonts w:ascii="Calibri" w:hAnsi="Calibri"/>
                <w:b w:val="0"/>
                <w:i w:val="0"/>
                <w:color w:val="12324B"/>
                <w:sz w:val="19"/>
              </w:rPr>
              <w:t>Device assignment</w:t>
            </w:r>
          </w:p>
        </w:tc>
        <w:tc>
          <w:tcPr>
            <w:tcW w:type="dxa" w:w="4700"/>
          </w:tcPr>
          <w:p>
            <w:pPr>
              <w:spacing w:after="0"/>
            </w:pPr>
            <w:r>
              <w:rPr>
                <w:rFonts w:ascii="Calibri" w:hAnsi="Calibri"/>
                <w:b w:val="0"/>
                <w:i w:val="0"/>
                <w:color w:val="12324B"/>
                <w:sz w:val="19"/>
              </w:rPr>
              <w:t>Time-bounded relationship between one patient and one device.</w:t>
            </w:r>
          </w:p>
        </w:tc>
        <w:tc>
          <w:tcPr>
            <w:tcW w:type="dxa" w:w="2460"/>
          </w:tcPr>
          <w:p>
            <w:pPr>
              <w:spacing w:after="0"/>
            </w:pPr>
            <w:r>
              <w:rPr>
                <w:rFonts w:ascii="Calibri" w:hAnsi="Calibri"/>
                <w:b w:val="0"/>
                <w:i w:val="0"/>
                <w:color w:val="12324B"/>
                <w:sz w:val="19"/>
              </w:rPr>
              <w:t>Doctor</w:t>
            </w:r>
          </w:p>
        </w:tc>
      </w:tr>
      <w:tr>
        <w:tc>
          <w:tcPr>
            <w:tcW w:type="dxa" w:w="2200"/>
          </w:tcPr>
          <w:p>
            <w:pPr>
              <w:spacing w:after="0"/>
            </w:pPr>
            <w:r>
              <w:rPr>
                <w:rFonts w:ascii="Calibri" w:hAnsi="Calibri"/>
                <w:b w:val="0"/>
                <w:i w:val="0"/>
                <w:color w:val="12324B"/>
                <w:sz w:val="19"/>
              </w:rPr>
              <w:t>Care plan</w:t>
            </w:r>
          </w:p>
        </w:tc>
        <w:tc>
          <w:tcPr>
            <w:tcW w:type="dxa" w:w="4700"/>
          </w:tcPr>
          <w:p>
            <w:pPr>
              <w:spacing w:after="0"/>
            </w:pPr>
            <w:r>
              <w:rPr>
                <w:rFonts w:ascii="Calibri" w:hAnsi="Calibri"/>
                <w:b w:val="0"/>
                <w:i w:val="0"/>
                <w:color w:val="12324B"/>
                <w:sz w:val="19"/>
              </w:rPr>
              <w:t>Doctor-approved frequency range, duration, and control rules.</w:t>
            </w:r>
          </w:p>
        </w:tc>
        <w:tc>
          <w:tcPr>
            <w:tcW w:type="dxa" w:w="2460"/>
          </w:tcPr>
          <w:p>
            <w:pPr>
              <w:spacing w:after="0"/>
            </w:pPr>
            <w:r>
              <w:rPr>
                <w:rFonts w:ascii="Calibri" w:hAnsi="Calibri"/>
                <w:b w:val="0"/>
                <w:i w:val="0"/>
                <w:color w:val="12324B"/>
                <w:sz w:val="19"/>
              </w:rPr>
              <w:t>Doctor</w:t>
            </w:r>
          </w:p>
        </w:tc>
      </w:tr>
      <w:tr>
        <w:tc>
          <w:tcPr>
            <w:tcW w:type="dxa" w:w="2200"/>
          </w:tcPr>
          <w:p>
            <w:pPr>
              <w:spacing w:after="0"/>
            </w:pPr>
            <w:r>
              <w:rPr>
                <w:rFonts w:ascii="Calibri" w:hAnsi="Calibri"/>
                <w:b w:val="0"/>
                <w:i w:val="0"/>
                <w:color w:val="12324B"/>
                <w:sz w:val="19"/>
              </w:rPr>
              <w:t>Schedule</w:t>
            </w:r>
          </w:p>
        </w:tc>
        <w:tc>
          <w:tcPr>
            <w:tcW w:type="dxa" w:w="4700"/>
          </w:tcPr>
          <w:p>
            <w:pPr>
              <w:spacing w:after="0"/>
            </w:pPr>
            <w:r>
              <w:rPr>
                <w:rFonts w:ascii="Calibri" w:hAnsi="Calibri"/>
                <w:b w:val="0"/>
                <w:i w:val="0"/>
                <w:color w:val="12324B"/>
                <w:sz w:val="19"/>
              </w:rPr>
              <w:t>Specific or recurring sessions and reminder timing.</w:t>
            </w:r>
          </w:p>
        </w:tc>
        <w:tc>
          <w:tcPr>
            <w:tcW w:type="dxa" w:w="2460"/>
          </w:tcPr>
          <w:p>
            <w:pPr>
              <w:spacing w:after="0"/>
            </w:pPr>
            <w:r>
              <w:rPr>
                <w:rFonts w:ascii="Calibri" w:hAnsi="Calibri"/>
                <w:b w:val="0"/>
                <w:i w:val="0"/>
                <w:color w:val="12324B"/>
                <w:sz w:val="19"/>
              </w:rPr>
              <w:t>Doctor</w:t>
            </w:r>
          </w:p>
        </w:tc>
      </w:tr>
      <w:tr>
        <w:tc>
          <w:tcPr>
            <w:tcW w:type="dxa" w:w="2200"/>
          </w:tcPr>
          <w:p>
            <w:pPr>
              <w:spacing w:after="0"/>
            </w:pPr>
            <w:r>
              <w:rPr>
                <w:rFonts w:ascii="Calibri" w:hAnsi="Calibri"/>
                <w:b w:val="0"/>
                <w:i w:val="0"/>
                <w:color w:val="12324B"/>
                <w:sz w:val="19"/>
              </w:rPr>
              <w:t>Therapy session</w:t>
            </w:r>
          </w:p>
        </w:tc>
        <w:tc>
          <w:tcPr>
            <w:tcW w:type="dxa" w:w="4700"/>
          </w:tcPr>
          <w:p>
            <w:pPr>
              <w:spacing w:after="0"/>
            </w:pPr>
            <w:r>
              <w:rPr>
                <w:rFonts w:ascii="Calibri" w:hAnsi="Calibri"/>
                <w:b w:val="0"/>
                <w:i w:val="0"/>
                <w:color w:val="12324B"/>
                <w:sz w:val="19"/>
              </w:rPr>
              <w:t>Immutable usage record generated by the device/app workflow.</w:t>
            </w:r>
          </w:p>
        </w:tc>
        <w:tc>
          <w:tcPr>
            <w:tcW w:type="dxa" w:w="2460"/>
          </w:tcPr>
          <w:p>
            <w:pPr>
              <w:spacing w:after="0"/>
            </w:pPr>
            <w:r>
              <w:rPr>
                <w:rFonts w:ascii="Calibri" w:hAnsi="Calibri"/>
                <w:b w:val="0"/>
                <w:i w:val="0"/>
                <w:color w:val="12324B"/>
                <w:sz w:val="19"/>
              </w:rPr>
              <w:t>System</w:t>
            </w:r>
          </w:p>
        </w:tc>
      </w:tr>
      <w:tr>
        <w:tc>
          <w:tcPr>
            <w:tcW w:type="dxa" w:w="2200"/>
          </w:tcPr>
          <w:p>
            <w:pPr>
              <w:spacing w:after="0"/>
            </w:pPr>
            <w:r>
              <w:rPr>
                <w:rFonts w:ascii="Calibri" w:hAnsi="Calibri"/>
                <w:b w:val="0"/>
                <w:i w:val="0"/>
                <w:color w:val="12324B"/>
                <w:sz w:val="19"/>
              </w:rPr>
              <w:t>Audit event</w:t>
            </w:r>
          </w:p>
        </w:tc>
        <w:tc>
          <w:tcPr>
            <w:tcW w:type="dxa" w:w="4700"/>
          </w:tcPr>
          <w:p>
            <w:pPr>
              <w:spacing w:after="0"/>
            </w:pPr>
            <w:r>
              <w:rPr>
                <w:rFonts w:ascii="Calibri" w:hAnsi="Calibri"/>
                <w:b w:val="0"/>
                <w:i w:val="0"/>
                <w:color w:val="12324B"/>
                <w:sz w:val="19"/>
              </w:rPr>
              <w:t>Who changed assignment, schedule, status, or access and when.</w:t>
            </w:r>
          </w:p>
        </w:tc>
        <w:tc>
          <w:tcPr>
            <w:tcW w:type="dxa" w:w="2460"/>
          </w:tcPr>
          <w:p>
            <w:pPr>
              <w:spacing w:after="0"/>
            </w:pPr>
            <w:r>
              <w:rPr>
                <w:rFonts w:ascii="Calibri" w:hAnsi="Calibri"/>
                <w:b w:val="0"/>
                <w:i w:val="0"/>
                <w:color w:val="12324B"/>
                <w:sz w:val="19"/>
              </w:rPr>
              <w:t>System</w:t>
            </w:r>
          </w:p>
        </w:tc>
      </w:tr>
    </w:tbl>
    <w:p>
      <w:pPr>
        <w:spacing w:after="0"/>
      </w:pPr>
    </w:p>
    <w:p>
      <w:pPr>
        <w:pStyle w:val="Heading1"/>
      </w:pPr>
      <w:r>
        <w:t>3. Replanned System Architecture</w:t>
      </w:r>
    </w:p>
    <w:p>
      <w:r>
        <w:drawing>
          <wp:inline xmlns:a="http://schemas.openxmlformats.org/drawingml/2006/main" xmlns:pic="http://schemas.openxmlformats.org/drawingml/2006/picture">
            <wp:extent cx="6080760" cy="4000500"/>
            <wp:docPr id="1" name="Picture 1" title="NeuroVibe replanned architecture" descr="Doctor web portal and patient app communicate with a secure backend API. NeuroSense uses Wi-Fi for direct session upload and Bluetooth for app setup, control, and offline relay. The backend validates records before storing them in PostgreSQL."/>
            <wp:cNvGraphicFramePr>
              <a:graphicFrameLocks noChangeAspect="1"/>
            </wp:cNvGraphicFramePr>
            <a:graphic>
              <a:graphicData uri="http://schemas.openxmlformats.org/drawingml/2006/picture">
                <pic:pic>
                  <pic:nvPicPr>
                    <pic:cNvPr id="0" name="neurovibe-replanned-architecture-v2.png"/>
                    <pic:cNvPicPr/>
                  </pic:nvPicPr>
                  <pic:blipFill>
                    <a:blip r:embed="rId10"/>
                    <a:stretch>
                      <a:fillRect/>
                    </a:stretch>
                  </pic:blipFill>
                  <pic:spPr>
                    <a:xfrm>
                      <a:off x="0" y="0"/>
                      <a:ext cx="6080760" cy="4000500"/>
                    </a:xfrm>
                    <a:prstGeom prst="rect"/>
                  </pic:spPr>
                </pic:pic>
              </a:graphicData>
            </a:graphic>
          </wp:inline>
        </w:drawing>
      </w:r>
    </w:p>
    <w:p>
      <w:pPr>
        <w:jc w:val="center"/>
      </w:pPr>
      <w:r>
        <w:rPr>
          <w:rFonts w:ascii="Calibri" w:hAnsi="Calibri"/>
          <w:b w:val="0"/>
          <w:i/>
          <w:color w:val="557082"/>
          <w:sz w:val="18"/>
        </w:rPr>
        <w:t>Figure 1. Replanned online and offline architecture</w:t>
      </w:r>
    </w:p>
    <w:p>
      <w:pPr>
        <w:pStyle w:val="ListBullet"/>
        <w:spacing w:after="80"/>
      </w:pPr>
      <w:r>
        <w:t>Doctor web portal and patient app never connect directly to the database. Both use the authenticated backend API.</w:t>
      </w:r>
    </w:p>
    <w:p>
      <w:pPr>
        <w:pStyle w:val="ListBullet"/>
        <w:spacing w:after="80"/>
      </w:pPr>
      <w:r>
        <w:t>NeuroSense can upload through Wi-Fi, while NeuroVibe provides a Bluetooth relay when direct Wi-Fi is unavailable.</w:t>
      </w:r>
    </w:p>
    <w:p>
      <w:pPr>
        <w:pStyle w:val="ListBullet"/>
        <w:spacing w:after="80"/>
      </w:pPr>
      <w:r>
        <w:t>The same session event ID is preserved through both routes, so duplicate uploads are harmless.</w:t>
      </w:r>
    </w:p>
    <w:p>
      <w:pPr>
        <w:pStyle w:val="ListBullet"/>
        <w:spacing w:after="80"/>
      </w:pPr>
      <w:r>
        <w:t>Only the server confirms that a record is accepted. Local copies are retained until acknowledgement.</w:t>
      </w:r>
    </w:p>
    <w:p>
      <w:pPr>
        <w:pStyle w:val="Heading1"/>
      </w:pPr>
      <w:r>
        <w:t>4. Technology Boundaries for a Small-Scale Build</w:t>
      </w:r>
    </w:p>
    <w:tbl>
      <w:tblPr>
        <w:tblW w:type="dxa" w:w="9360"/>
        <w:jc w:val="left"/>
        <w:tblLayout w:type="fixed"/>
        <w:tblLook w:firstColumn="1" w:firstRow="1" w:lastColumn="0" w:lastRow="0" w:noHBand="0" w:noVBand="1" w:val="04A0"/>
        <w:tblInd w:w="120" w:type="dxa"/>
      </w:tblPr>
      <w:tblGrid>
        <w:gridCol w:w="1750"/>
        <w:gridCol w:w="4800"/>
        <w:gridCol w:w="2810"/>
      </w:tblGrid>
      <w:tr>
        <w:trPr>
          <w:tblHeader w:val="true"/>
        </w:trPr>
        <w:tc>
          <w:tcPr>
            <w:tcW w:type="dxa" w:w="1750"/>
            <w:vAlign w:val="center"/>
            <w:tcMar>
              <w:top w:w="90" w:type="dxa"/>
              <w:start w:w="120" w:type="dxa"/>
              <w:bottom w:w="90" w:type="dxa"/>
              <w:end w:w="120" w:type="dxa"/>
            </w:tcMar>
            <w:shd w:fill="F2F4F7"/>
          </w:tcPr>
          <w:p>
            <w:pPr>
              <w:spacing w:after="0"/>
            </w:pPr>
            <w:r>
              <w:rPr>
                <w:rFonts w:ascii="Calibri" w:hAnsi="Calibri"/>
                <w:b/>
                <w:i w:val="0"/>
                <w:color w:val="12324B"/>
                <w:sz w:val="20"/>
              </w:rPr>
              <w:t>Layer</w:t>
            </w:r>
          </w:p>
        </w:tc>
        <w:tc>
          <w:tcPr>
            <w:tcW w:type="dxa" w:w="4800"/>
            <w:vAlign w:val="center"/>
            <w:tcMar>
              <w:top w:w="90" w:type="dxa"/>
              <w:start w:w="120" w:type="dxa"/>
              <w:bottom w:w="90" w:type="dxa"/>
              <w:end w:w="120" w:type="dxa"/>
            </w:tcMar>
            <w:shd w:fill="F2F4F7"/>
          </w:tcPr>
          <w:p>
            <w:pPr>
              <w:spacing w:after="0"/>
            </w:pPr>
            <w:r>
              <w:rPr>
                <w:rFonts w:ascii="Calibri" w:hAnsi="Calibri"/>
                <w:b/>
                <w:i w:val="0"/>
                <w:color w:val="12324B"/>
                <w:sz w:val="20"/>
              </w:rPr>
              <w:t>Recommended first implementation</w:t>
            </w:r>
          </w:p>
        </w:tc>
        <w:tc>
          <w:tcPr>
            <w:tcW w:type="dxa" w:w="2810"/>
            <w:vAlign w:val="center"/>
            <w:tcMar>
              <w:top w:w="90" w:type="dxa"/>
              <w:start w:w="120" w:type="dxa"/>
              <w:bottom w:w="90" w:type="dxa"/>
              <w:end w:w="120" w:type="dxa"/>
            </w:tcMar>
            <w:shd w:fill="F2F4F7"/>
          </w:tcPr>
          <w:p>
            <w:pPr>
              <w:spacing w:after="0"/>
            </w:pPr>
            <w:r>
              <w:rPr>
                <w:rFonts w:ascii="Calibri" w:hAnsi="Calibri"/>
                <w:b/>
                <w:i w:val="0"/>
                <w:color w:val="12324B"/>
                <w:sz w:val="20"/>
              </w:rPr>
              <w:t>Reason</w:t>
            </w:r>
          </w:p>
        </w:tc>
      </w:tr>
      <w:tr>
        <w:tc>
          <w:tcPr>
            <w:tcW w:type="dxa" w:w="1750"/>
          </w:tcPr>
          <w:p>
            <w:pPr>
              <w:spacing w:after="0"/>
            </w:pPr>
            <w:r>
              <w:rPr>
                <w:rFonts w:ascii="Calibri" w:hAnsi="Calibri"/>
                <w:b w:val="0"/>
                <w:i w:val="0"/>
                <w:color w:val="12324B"/>
                <w:sz w:val="19"/>
              </w:rPr>
              <w:t>Doctor portal</w:t>
            </w:r>
          </w:p>
        </w:tc>
        <w:tc>
          <w:tcPr>
            <w:tcW w:type="dxa" w:w="4800"/>
          </w:tcPr>
          <w:p>
            <w:pPr>
              <w:spacing w:after="0"/>
            </w:pPr>
            <w:r>
              <w:rPr>
                <w:rFonts w:ascii="Calibri" w:hAnsi="Calibri"/>
                <w:b w:val="0"/>
                <w:i w:val="0"/>
                <w:color w:val="12324B"/>
                <w:sz w:val="19"/>
              </w:rPr>
              <w:t>Responsive HTML/CSS/JavaScript frontend; React or vanilla JS for the first version.</w:t>
            </w:r>
          </w:p>
        </w:tc>
        <w:tc>
          <w:tcPr>
            <w:tcW w:type="dxa" w:w="2810"/>
          </w:tcPr>
          <w:p>
            <w:pPr>
              <w:spacing w:after="0"/>
            </w:pPr>
            <w:r>
              <w:rPr>
                <w:rFonts w:ascii="Calibri" w:hAnsi="Calibri"/>
                <w:b w:val="0"/>
                <w:i w:val="0"/>
                <w:color w:val="12324B"/>
                <w:sz w:val="19"/>
              </w:rPr>
              <w:t>Runs in a browser and keeps doctor workflow simple.</w:t>
            </w:r>
          </w:p>
        </w:tc>
      </w:tr>
      <w:tr>
        <w:tc>
          <w:tcPr>
            <w:tcW w:type="dxa" w:w="1750"/>
          </w:tcPr>
          <w:p>
            <w:pPr>
              <w:spacing w:after="0"/>
            </w:pPr>
            <w:r>
              <w:rPr>
                <w:rFonts w:ascii="Calibri" w:hAnsi="Calibri"/>
                <w:b w:val="0"/>
                <w:i w:val="0"/>
                <w:color w:val="12324B"/>
                <w:sz w:val="19"/>
              </w:rPr>
              <w:t>Patient app</w:t>
            </w:r>
          </w:p>
        </w:tc>
        <w:tc>
          <w:tcPr>
            <w:tcW w:type="dxa" w:w="4800"/>
          </w:tcPr>
          <w:p>
            <w:pPr>
              <w:spacing w:after="0"/>
            </w:pPr>
            <w:r>
              <w:rPr>
                <w:rFonts w:ascii="Calibri" w:hAnsi="Calibri"/>
                <w:b w:val="0"/>
                <w:i w:val="0"/>
                <w:color w:val="12324B"/>
                <w:sz w:val="19"/>
              </w:rPr>
              <w:t>Flutter Android-first application.</w:t>
            </w:r>
          </w:p>
        </w:tc>
        <w:tc>
          <w:tcPr>
            <w:tcW w:type="dxa" w:w="2810"/>
          </w:tcPr>
          <w:p>
            <w:pPr>
              <w:spacing w:after="0"/>
            </w:pPr>
            <w:r>
              <w:rPr>
                <w:rFonts w:ascii="Calibri" w:hAnsi="Calibri"/>
                <w:b w:val="0"/>
                <w:i w:val="0"/>
                <w:color w:val="12324B"/>
                <w:sz w:val="19"/>
              </w:rPr>
              <w:t>Supports BLE, local encrypted storage, notifications, and later iOS support.</w:t>
            </w:r>
          </w:p>
        </w:tc>
      </w:tr>
      <w:tr>
        <w:tc>
          <w:tcPr>
            <w:tcW w:type="dxa" w:w="1750"/>
          </w:tcPr>
          <w:p>
            <w:pPr>
              <w:spacing w:after="0"/>
            </w:pPr>
            <w:r>
              <w:rPr>
                <w:rFonts w:ascii="Calibri" w:hAnsi="Calibri"/>
                <w:b w:val="0"/>
                <w:i w:val="0"/>
                <w:color w:val="12324B"/>
                <w:sz w:val="19"/>
              </w:rPr>
              <w:t>Backend</w:t>
            </w:r>
          </w:p>
        </w:tc>
        <w:tc>
          <w:tcPr>
            <w:tcW w:type="dxa" w:w="4800"/>
          </w:tcPr>
          <w:p>
            <w:pPr>
              <w:spacing w:after="0"/>
            </w:pPr>
            <w:r>
              <w:rPr>
                <w:rFonts w:ascii="Calibri" w:hAnsi="Calibri"/>
                <w:b w:val="0"/>
                <w:i w:val="0"/>
                <w:color w:val="12324B"/>
                <w:sz w:val="19"/>
              </w:rPr>
              <w:t>Single modular API service; FastAPI or Node/NestJS.</w:t>
            </w:r>
          </w:p>
        </w:tc>
        <w:tc>
          <w:tcPr>
            <w:tcW w:type="dxa" w:w="2810"/>
          </w:tcPr>
          <w:p>
            <w:pPr>
              <w:spacing w:after="0"/>
            </w:pPr>
            <w:r>
              <w:rPr>
                <w:rFonts w:ascii="Calibri" w:hAnsi="Calibri"/>
                <w:b w:val="0"/>
                <w:i w:val="0"/>
                <w:color w:val="12324B"/>
                <w:sz w:val="19"/>
              </w:rPr>
              <w:t>One deployable backend is sufficient; no microservices are needed initially.</w:t>
            </w:r>
          </w:p>
        </w:tc>
      </w:tr>
      <w:tr>
        <w:tc>
          <w:tcPr>
            <w:tcW w:type="dxa" w:w="1750"/>
          </w:tcPr>
          <w:p>
            <w:pPr>
              <w:spacing w:after="0"/>
            </w:pPr>
            <w:r>
              <w:rPr>
                <w:rFonts w:ascii="Calibri" w:hAnsi="Calibri"/>
                <w:b w:val="0"/>
                <w:i w:val="0"/>
                <w:color w:val="12324B"/>
                <w:sz w:val="19"/>
              </w:rPr>
              <w:t>Database</w:t>
            </w:r>
          </w:p>
        </w:tc>
        <w:tc>
          <w:tcPr>
            <w:tcW w:type="dxa" w:w="4800"/>
          </w:tcPr>
          <w:p>
            <w:pPr>
              <w:spacing w:after="0"/>
            </w:pPr>
            <w:r>
              <w:rPr>
                <w:rFonts w:ascii="Calibri" w:hAnsi="Calibri"/>
                <w:b w:val="0"/>
                <w:i w:val="0"/>
                <w:color w:val="12324B"/>
                <w:sz w:val="19"/>
              </w:rPr>
              <w:t>Managed PostgreSQL with authentication and row-level authorization.</w:t>
            </w:r>
          </w:p>
        </w:tc>
        <w:tc>
          <w:tcPr>
            <w:tcW w:type="dxa" w:w="2810"/>
          </w:tcPr>
          <w:p>
            <w:pPr>
              <w:spacing w:after="0"/>
            </w:pPr>
            <w:r>
              <w:rPr>
                <w:rFonts w:ascii="Calibri" w:hAnsi="Calibri"/>
                <w:b w:val="0"/>
                <w:i w:val="0"/>
                <w:color w:val="12324B"/>
                <w:sz w:val="19"/>
              </w:rPr>
              <w:t>Fits assignments, schedules, session history, and reports.</w:t>
            </w:r>
          </w:p>
        </w:tc>
      </w:tr>
      <w:tr>
        <w:tc>
          <w:tcPr>
            <w:tcW w:type="dxa" w:w="1750"/>
          </w:tcPr>
          <w:p>
            <w:pPr>
              <w:spacing w:after="0"/>
            </w:pPr>
            <w:r>
              <w:rPr>
                <w:rFonts w:ascii="Calibri" w:hAnsi="Calibri"/>
                <w:b w:val="0"/>
                <w:i w:val="0"/>
                <w:color w:val="12324B"/>
                <w:sz w:val="19"/>
              </w:rPr>
              <w:t>Notifications</w:t>
            </w:r>
          </w:p>
        </w:tc>
        <w:tc>
          <w:tcPr>
            <w:tcW w:type="dxa" w:w="4800"/>
          </w:tcPr>
          <w:p>
            <w:pPr>
              <w:spacing w:after="0"/>
            </w:pPr>
            <w:r>
              <w:rPr>
                <w:rFonts w:ascii="Calibri" w:hAnsi="Calibri"/>
                <w:b w:val="0"/>
                <w:i w:val="0"/>
                <w:color w:val="12324B"/>
                <w:sz w:val="19"/>
              </w:rPr>
              <w:t>Mobile push notification service plus in-app schedule cache.</w:t>
            </w:r>
          </w:p>
        </w:tc>
        <w:tc>
          <w:tcPr>
            <w:tcW w:type="dxa" w:w="2810"/>
          </w:tcPr>
          <w:p>
            <w:pPr>
              <w:spacing w:after="0"/>
            </w:pPr>
            <w:r>
              <w:rPr>
                <w:rFonts w:ascii="Calibri" w:hAnsi="Calibri"/>
                <w:b w:val="0"/>
                <w:i w:val="0"/>
                <w:color w:val="12324B"/>
                <w:sz w:val="19"/>
              </w:rPr>
              <w:t>Reminders can reach many patients without the ESP32 being online.</w:t>
            </w:r>
          </w:p>
        </w:tc>
      </w:tr>
      <w:tr>
        <w:tc>
          <w:tcPr>
            <w:tcW w:type="dxa" w:w="1750"/>
          </w:tcPr>
          <w:p>
            <w:pPr>
              <w:spacing w:after="0"/>
            </w:pPr>
            <w:r>
              <w:rPr>
                <w:rFonts w:ascii="Calibri" w:hAnsi="Calibri"/>
                <w:b w:val="0"/>
                <w:i w:val="0"/>
                <w:color w:val="12324B"/>
                <w:sz w:val="19"/>
              </w:rPr>
              <w:t>Device</w:t>
            </w:r>
          </w:p>
        </w:tc>
        <w:tc>
          <w:tcPr>
            <w:tcW w:type="dxa" w:w="4800"/>
          </w:tcPr>
          <w:p>
            <w:pPr>
              <w:spacing w:after="0"/>
            </w:pPr>
            <w:r>
              <w:rPr>
                <w:rFonts w:ascii="Calibri" w:hAnsi="Calibri"/>
                <w:b w:val="0"/>
                <w:i w:val="0"/>
                <w:color w:val="12324B"/>
                <w:sz w:val="19"/>
              </w:rPr>
              <w:t>ESP32-C3 firmware with BLE, HTTPS, encrypted settings, and flash event queue.</w:t>
            </w:r>
          </w:p>
        </w:tc>
        <w:tc>
          <w:tcPr>
            <w:tcW w:type="dxa" w:w="2810"/>
          </w:tcPr>
          <w:p>
            <w:pPr>
              <w:spacing w:after="0"/>
            </w:pPr>
            <w:r>
              <w:rPr>
                <w:rFonts w:ascii="Calibri" w:hAnsi="Calibri"/>
                <w:b w:val="0"/>
                <w:i w:val="0"/>
                <w:color w:val="12324B"/>
                <w:sz w:val="19"/>
              </w:rPr>
              <w:t>Meets commissioning, control, and offline requirements.</w:t>
            </w:r>
          </w:p>
        </w:tc>
      </w:tr>
    </w:tbl>
    <w:p>
      <w:pPr>
        <w:spacing w:after="0"/>
      </w:pPr>
    </w:p>
    <w:p>
      <w:pPr>
        <w:pStyle w:val="Heading1"/>
      </w:pPr>
      <w:r>
        <w:t>5. Identity, Enrollment, and Device Commissioning</w:t>
      </w:r>
    </w:p>
    <w:p>
      <w:pPr>
        <w:pStyle w:val="Heading2"/>
      </w:pPr>
      <w:r>
        <w:t>5.1 Device identity</w:t>
      </w:r>
    </w:p>
    <w:p>
      <w:pPr>
        <w:pStyle w:val="ListBullet"/>
        <w:spacing w:after="80"/>
      </w:pPr>
      <w:r>
        <w:t>Create an immutable device ID at manufacturing or first boot from a secure random UUID; never derive identity only from a Bluetooth name.</w:t>
      </w:r>
    </w:p>
    <w:p>
      <w:pPr>
        <w:pStyle w:val="ListBullet"/>
        <w:spacing w:after="80"/>
      </w:pPr>
      <w:r>
        <w:t>Use a friendly name such as NeuroSense-A7F3 for discovery, while the server stores the full device UUID.</w:t>
      </w:r>
    </w:p>
    <w:p>
      <w:pPr>
        <w:pStyle w:val="ListBullet"/>
        <w:spacing w:after="80"/>
      </w:pPr>
      <w:r>
        <w:t>A new device begins Factory New and cannot run patient sessions until it is claimed and assigned.</w:t>
      </w:r>
    </w:p>
    <w:p>
      <w:pPr>
        <w:pStyle w:val="ListBullet"/>
        <w:spacing w:after="80"/>
      </w:pPr>
      <w:r>
        <w:t>Use a QR code or short claim code printed on the device/packaging to prevent assignment of the wrong nearby device.</w:t>
      </w:r>
    </w:p>
    <w:p>
      <w:pPr>
        <w:pStyle w:val="Heading2"/>
      </w:pPr>
      <w:r>
        <w:t>5.2 Patient enrollment</w:t>
      </w:r>
    </w:p>
    <w:p>
      <w:pPr>
        <w:pStyle w:val="ListNumber"/>
        <w:spacing w:after="80"/>
      </w:pPr>
      <w:r>
        <w:t>Doctor creates a patient and selects Assign NeuroSense.</w:t>
      </w:r>
    </w:p>
    <w:p>
      <w:pPr>
        <w:pStyle w:val="ListNumber"/>
        <w:spacing w:after="80"/>
      </w:pPr>
      <w:r>
        <w:t>Server creates a one-time invitation linked to the intended patient, device, and doctor.</w:t>
      </w:r>
    </w:p>
    <w:p>
      <w:pPr>
        <w:pStyle w:val="ListNumber"/>
        <w:spacing w:after="80"/>
      </w:pPr>
      <w:r>
        <w:t>Patient signs in to NeuroVibe and accepts the invitation or scans the QR code.</w:t>
      </w:r>
    </w:p>
    <w:p>
      <w:pPr>
        <w:pStyle w:val="ListNumber"/>
        <w:spacing w:after="80"/>
      </w:pPr>
      <w:r>
        <w:t>App verifies that the discovered BLE device ID matches the server assignment.</w:t>
      </w:r>
    </w:p>
    <w:p>
      <w:pPr>
        <w:pStyle w:val="ListNumber"/>
        <w:spacing w:after="80"/>
      </w:pPr>
      <w:r>
        <w:t>Patient selects the home/clinic Wi-Fi network and enters the password in the app.</w:t>
      </w:r>
    </w:p>
    <w:p>
      <w:pPr>
        <w:pStyle w:val="ListNumber"/>
        <w:spacing w:after="80"/>
      </w:pPr>
      <w:r>
        <w:t>App sends Wi-Fi credentials and a short-lived device enrollment credential over authenticated BLE.</w:t>
      </w:r>
    </w:p>
    <w:p>
      <w:pPr>
        <w:pStyle w:val="ListNumber"/>
        <w:spacing w:after="80"/>
      </w:pPr>
      <w:r>
        <w:t>Device connects to the backend, exchanges the enrollment credential for its own device credential, and reports Active.</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90" w:type="dxa"/>
              <w:start w:w="120" w:type="dxa"/>
              <w:bottom w:w="90" w:type="dxa"/>
              <w:end w:w="120" w:type="dxa"/>
            </w:tcMar>
            <w:shd w:fill="F4F8FA"/>
          </w:tcPr>
          <w:p>
            <w:pPr>
              <w:spacing w:after="60"/>
            </w:pPr>
            <w:r>
              <w:rPr>
                <w:rFonts w:ascii="Calibri" w:hAnsi="Calibri"/>
                <w:b/>
                <w:i w:val="0"/>
                <w:color w:val="146C94"/>
                <w:sz w:val="22"/>
              </w:rPr>
              <w:t>Privacy boundary</w:t>
            </w:r>
          </w:p>
          <w:p>
            <w:pPr>
              <w:spacing w:after="0"/>
            </w:pPr>
            <w:r>
              <w:rPr>
                <w:rFonts w:ascii="Calibri" w:hAnsi="Calibri"/>
                <w:b w:val="0"/>
                <w:i w:val="0"/>
                <w:color w:val="12324B"/>
                <w:sz w:val="21"/>
              </w:rPr>
              <w:t>Do not send the patient’s full name, age, or gender to NeuroSense unless there is a demonstrated offline requirement. Store patient_id, assignment_id, and care-plan limits on the device; keep identifiable profile data on the server and encrypted app storage.</w:t>
            </w:r>
          </w:p>
        </w:tc>
      </w:tr>
    </w:tbl>
    <w:p>
      <w:pPr>
        <w:spacing w:after="0"/>
      </w:pPr>
    </w:p>
    <w:p>
      <w:pPr>
        <w:pStyle w:val="Heading1"/>
      </w:pPr>
      <w:r>
        <w:t>6. Therapy and Frequency-Control Model</w:t>
      </w:r>
    </w:p>
    <w:tbl>
      <w:tblPr>
        <w:tblW w:type="dxa" w:w="9360"/>
        <w:jc w:val="left"/>
        <w:tblLayout w:type="fixed"/>
        <w:tblLook w:firstColumn="1" w:firstRow="1" w:lastColumn="0" w:lastRow="0" w:noHBand="0" w:noVBand="1" w:val="04A0"/>
        <w:tblInd w:w="120" w:type="dxa"/>
      </w:tblPr>
      <w:tblGrid>
        <w:gridCol w:w="2300"/>
        <w:gridCol w:w="7060"/>
      </w:tblGrid>
      <w:tr>
        <w:trPr>
          <w:tblHeader w:val="true"/>
        </w:trPr>
        <w:tc>
          <w:tcPr>
            <w:tcW w:type="dxa" w:w="2300"/>
            <w:vAlign w:val="center"/>
            <w:tcMar>
              <w:top w:w="90" w:type="dxa"/>
              <w:start w:w="120" w:type="dxa"/>
              <w:bottom w:w="90" w:type="dxa"/>
              <w:end w:w="120" w:type="dxa"/>
            </w:tcMar>
            <w:shd w:fill="F2F4F7"/>
          </w:tcPr>
          <w:p>
            <w:pPr>
              <w:spacing w:after="0"/>
            </w:pPr>
            <w:r>
              <w:rPr>
                <w:rFonts w:ascii="Calibri" w:hAnsi="Calibri"/>
                <w:b/>
                <w:i w:val="0"/>
                <w:color w:val="12324B"/>
                <w:sz w:val="20"/>
              </w:rPr>
              <w:t>Value</w:t>
            </w:r>
          </w:p>
        </w:tc>
        <w:tc>
          <w:tcPr>
            <w:tcW w:type="dxa" w:w="7060"/>
            <w:vAlign w:val="center"/>
            <w:tcMar>
              <w:top w:w="90" w:type="dxa"/>
              <w:start w:w="120" w:type="dxa"/>
              <w:bottom w:w="90" w:type="dxa"/>
              <w:end w:w="120" w:type="dxa"/>
            </w:tcMar>
            <w:shd w:fill="F2F4F7"/>
          </w:tcPr>
          <w:p>
            <w:pPr>
              <w:spacing w:after="0"/>
            </w:pPr>
            <w:r>
              <w:rPr>
                <w:rFonts w:ascii="Calibri" w:hAnsi="Calibri"/>
                <w:b/>
                <w:i w:val="0"/>
                <w:color w:val="12324B"/>
                <w:sz w:val="20"/>
              </w:rPr>
              <w:t>Meaning</w:t>
            </w:r>
          </w:p>
        </w:tc>
      </w:tr>
      <w:tr>
        <w:tc>
          <w:tcPr>
            <w:tcW w:type="dxa" w:w="2300"/>
          </w:tcPr>
          <w:p>
            <w:pPr>
              <w:spacing w:after="0"/>
            </w:pPr>
            <w:r>
              <w:rPr>
                <w:rFonts w:ascii="Calibri" w:hAnsi="Calibri"/>
                <w:b w:val="0"/>
                <w:i w:val="0"/>
                <w:color w:val="12324B"/>
                <w:sz w:val="19"/>
              </w:rPr>
              <w:t>requested_hz</w:t>
            </w:r>
          </w:p>
        </w:tc>
        <w:tc>
          <w:tcPr>
            <w:tcW w:type="dxa" w:w="7060"/>
          </w:tcPr>
          <w:p>
            <w:pPr>
              <w:spacing w:after="0"/>
            </w:pPr>
            <w:r>
              <w:rPr>
                <w:rFonts w:ascii="Calibri" w:hAnsi="Calibri"/>
                <w:b w:val="0"/>
                <w:i w:val="0"/>
                <w:color w:val="12324B"/>
                <w:sz w:val="19"/>
              </w:rPr>
              <w:t>Frequency requested by the approved care plan or app control.</w:t>
            </w:r>
          </w:p>
        </w:tc>
      </w:tr>
      <w:tr>
        <w:tc>
          <w:tcPr>
            <w:tcW w:type="dxa" w:w="2300"/>
          </w:tcPr>
          <w:p>
            <w:pPr>
              <w:spacing w:after="0"/>
            </w:pPr>
            <w:r>
              <w:rPr>
                <w:rFonts w:ascii="Calibri" w:hAnsi="Calibri"/>
                <w:b w:val="0"/>
                <w:i w:val="0"/>
                <w:color w:val="12324B"/>
                <w:sz w:val="19"/>
              </w:rPr>
              <w:t>estimated_hz</w:t>
            </w:r>
          </w:p>
        </w:tc>
        <w:tc>
          <w:tcPr>
            <w:tcW w:type="dxa" w:w="7060"/>
          </w:tcPr>
          <w:p>
            <w:pPr>
              <w:spacing w:after="0"/>
            </w:pPr>
            <w:r>
              <w:rPr>
                <w:rFonts w:ascii="Calibri" w:hAnsi="Calibri"/>
                <w:b w:val="0"/>
                <w:i w:val="0"/>
                <w:color w:val="12324B"/>
                <w:sz w:val="19"/>
              </w:rPr>
              <w:t>Frequency inferred from calibrated PWM when no vibration sensor exists.</w:t>
            </w:r>
          </w:p>
        </w:tc>
      </w:tr>
      <w:tr>
        <w:tc>
          <w:tcPr>
            <w:tcW w:type="dxa" w:w="2300"/>
          </w:tcPr>
          <w:p>
            <w:pPr>
              <w:spacing w:after="0"/>
            </w:pPr>
            <w:r>
              <w:rPr>
                <w:rFonts w:ascii="Calibri" w:hAnsi="Calibri"/>
                <w:b w:val="0"/>
                <w:i w:val="0"/>
                <w:color w:val="12324B"/>
                <w:sz w:val="19"/>
              </w:rPr>
              <w:t>measured_hz</w:t>
            </w:r>
          </w:p>
        </w:tc>
        <w:tc>
          <w:tcPr>
            <w:tcW w:type="dxa" w:w="7060"/>
          </w:tcPr>
          <w:p>
            <w:pPr>
              <w:spacing w:after="0"/>
            </w:pPr>
            <w:r>
              <w:rPr>
                <w:rFonts w:ascii="Calibri" w:hAnsi="Calibri"/>
                <w:b w:val="0"/>
                <w:i w:val="0"/>
                <w:color w:val="12324B"/>
                <w:sz w:val="19"/>
              </w:rPr>
              <w:t>Actual vibration frequency measured by a future accelerometer; null in the initial prototype.</w:t>
            </w:r>
          </w:p>
        </w:tc>
      </w:tr>
      <w:tr>
        <w:tc>
          <w:tcPr>
            <w:tcW w:type="dxa" w:w="2300"/>
          </w:tcPr>
          <w:p>
            <w:pPr>
              <w:spacing w:after="0"/>
            </w:pPr>
            <w:r>
              <w:rPr>
                <w:rFonts w:ascii="Calibri" w:hAnsi="Calibri"/>
                <w:b w:val="0"/>
                <w:i w:val="0"/>
                <w:color w:val="12324B"/>
                <w:sz w:val="19"/>
              </w:rPr>
              <w:t>pwm_value</w:t>
            </w:r>
          </w:p>
        </w:tc>
        <w:tc>
          <w:tcPr>
            <w:tcW w:type="dxa" w:w="7060"/>
          </w:tcPr>
          <w:p>
            <w:pPr>
              <w:spacing w:after="0"/>
            </w:pPr>
            <w:r>
              <w:rPr>
                <w:rFonts w:ascii="Calibri" w:hAnsi="Calibri"/>
                <w:b w:val="0"/>
                <w:i w:val="0"/>
                <w:color w:val="12324B"/>
                <w:sz w:val="19"/>
              </w:rPr>
              <w:t>0-255 motor command used by the current 8-bit ESP32 PWM configuration.</w:t>
            </w:r>
          </w:p>
        </w:tc>
      </w:tr>
      <w:tr>
        <w:tc>
          <w:tcPr>
            <w:tcW w:type="dxa" w:w="2300"/>
          </w:tcPr>
          <w:p>
            <w:pPr>
              <w:spacing w:after="0"/>
            </w:pPr>
            <w:r>
              <w:rPr>
                <w:rFonts w:ascii="Calibri" w:hAnsi="Calibri"/>
                <w:b w:val="0"/>
                <w:i w:val="0"/>
                <w:color w:val="12324B"/>
                <w:sz w:val="19"/>
              </w:rPr>
              <w:t>safety maximum</w:t>
            </w:r>
          </w:p>
        </w:tc>
        <w:tc>
          <w:tcPr>
            <w:tcW w:type="dxa" w:w="7060"/>
          </w:tcPr>
          <w:p>
            <w:pPr>
              <w:spacing w:after="0"/>
            </w:pPr>
            <w:r>
              <w:rPr>
                <w:rFonts w:ascii="Calibri" w:hAnsi="Calibri"/>
                <w:b w:val="0"/>
                <w:i w:val="0"/>
                <w:color w:val="12324B"/>
                <w:sz w:val="19"/>
              </w:rPr>
              <w:t>Hard device and server ceiling of 230 Hz; doctor may prescribe a lower maximum.</w:t>
            </w:r>
          </w:p>
        </w:tc>
      </w:tr>
    </w:tbl>
    <w:p>
      <w:pPr>
        <w:spacing w:after="0"/>
      </w:pPr>
    </w:p>
    <w:p>
      <w:r>
        <w:t>The existing ESP32-C3 + DRV8833 + ERM coin-motor configuration cannot guarantee exact vibration frequency without feedback. PWM controls average motor voltage and speed; the software should describe output as estimated until calibration or accelerometer feedback is added.</w:t>
      </w:r>
    </w:p>
    <w:p>
      <w:pPr>
        <w:pStyle w:val="ListBullet"/>
        <w:spacing w:after="80"/>
      </w:pPr>
      <w:r>
        <w:t>Keep the PWM carrier frequency separate from vibration frequency.</w:t>
      </w:r>
    </w:p>
    <w:p>
      <w:pPr>
        <w:pStyle w:val="ListBullet"/>
        <w:spacing w:after="80"/>
      </w:pPr>
      <w:r>
        <w:t>Reject commands below 0 Hz or above 230 Hz rather than silently accepting them.</w:t>
      </w:r>
    </w:p>
    <w:p>
      <w:pPr>
        <w:pStyle w:val="ListBullet"/>
        <w:spacing w:after="80"/>
      </w:pPr>
      <w:r>
        <w:t>Apply doctor-defined target, maximum frequency, maximum duration, cooldown, and allowed-time rules on both server/app and device.</w:t>
      </w:r>
    </w:p>
    <w:p>
      <w:pPr>
        <w:pStyle w:val="ListBullet"/>
        <w:spacing w:after="80"/>
      </w:pPr>
      <w:r>
        <w:t>Stop immediately on timeout, BLE control loss where required, watchdog failure, or patient emergency stop.</w:t>
      </w:r>
    </w:p>
    <w:p>
      <w:pPr>
        <w:pStyle w:val="Heading1"/>
      </w:pPr>
      <w:r>
        <w:t>7. Session Lifecycle</w:t>
      </w:r>
    </w:p>
    <w:p>
      <w:pPr>
        <w:pStyle w:val="ListNumber"/>
        <w:spacing w:after="80"/>
      </w:pPr>
      <w:r>
        <w:t>Backend creates a scheduled session from the doctor’s care plan and schedule.</w:t>
      </w:r>
    </w:p>
    <w:p>
      <w:pPr>
        <w:pStyle w:val="ListNumber"/>
        <w:spacing w:after="80"/>
      </w:pPr>
      <w:r>
        <w:t>Patient app downloads and caches the schedule, then sends the applicable permitted session to NeuroSense over BLE.</w:t>
      </w:r>
    </w:p>
    <w:p>
      <w:pPr>
        <w:pStyle w:val="ListNumber"/>
        <w:spacing w:after="80"/>
      </w:pPr>
      <w:r>
        <w:t>At start, NeuroSense creates session_id and records device_id, assignment_id, schedule_id, timestamps, and requested settings.</w:t>
      </w:r>
    </w:p>
    <w:p>
      <w:pPr>
        <w:pStyle w:val="ListNumber"/>
        <w:spacing w:after="80"/>
      </w:pPr>
      <w:r>
        <w:t>During operation, the device applies safety limits and records relevant setting changes or summary values.</w:t>
      </w:r>
    </w:p>
    <w:p>
      <w:pPr>
        <w:pStyle w:val="ListNumber"/>
        <w:spacing w:after="80"/>
      </w:pPr>
      <w:r>
        <w:t>At stop/completion, NeuroSense closes the session event and saves it to durable flash before reporting success to the app.</w:t>
      </w:r>
    </w:p>
    <w:p>
      <w:pPr>
        <w:pStyle w:val="ListNumber"/>
        <w:spacing w:after="80"/>
      </w:pPr>
      <w:r>
        <w:t>The session uploads by device Wi-Fi or app relay. The backend validates assignment and schedule context, stores it once, and returns acknowledgement.</w:t>
      </w:r>
    </w:p>
    <w:p>
      <w:pPr>
        <w:pStyle w:val="ListNumber"/>
        <w:spacing w:after="80"/>
      </w:pPr>
      <w:r>
        <w:t>Device/app mark the event acknowledged and later remove it according to local retention limits.</w:t>
      </w:r>
    </w:p>
    <w:p>
      <w:pPr>
        <w:pStyle w:val="Heading1"/>
      </w:pPr>
      <w:r>
        <w:t>8. Offline-First Synchronization Contract</w:t>
      </w:r>
    </w:p>
    <w:tbl>
      <w:tblPr>
        <w:tblW w:type="dxa" w:w="9360"/>
        <w:jc w:val="left"/>
        <w:tblLayout w:type="fixed"/>
        <w:tblLook w:firstColumn="1" w:firstRow="1" w:lastColumn="0" w:lastRow="0" w:noHBand="0" w:noVBand="1" w:val="04A0"/>
        <w:tblInd w:w="120" w:type="dxa"/>
      </w:tblPr>
      <w:tblGrid>
        <w:gridCol w:w="2150"/>
        <w:gridCol w:w="7210"/>
      </w:tblGrid>
      <w:tr>
        <w:trPr>
          <w:tblHeader w:val="true"/>
        </w:trPr>
        <w:tc>
          <w:tcPr>
            <w:tcW w:type="dxa" w:w="2150"/>
            <w:vAlign w:val="center"/>
            <w:tcMar>
              <w:top w:w="90" w:type="dxa"/>
              <w:start w:w="120" w:type="dxa"/>
              <w:bottom w:w="90" w:type="dxa"/>
              <w:end w:w="120" w:type="dxa"/>
            </w:tcMar>
            <w:shd w:fill="F2F4F7"/>
          </w:tcPr>
          <w:p>
            <w:pPr>
              <w:spacing w:after="0"/>
            </w:pPr>
            <w:r>
              <w:rPr>
                <w:rFonts w:ascii="Calibri" w:hAnsi="Calibri"/>
                <w:b/>
                <w:i w:val="0"/>
                <w:color w:val="12324B"/>
                <w:sz w:val="20"/>
              </w:rPr>
              <w:t>Rule</w:t>
            </w:r>
          </w:p>
        </w:tc>
        <w:tc>
          <w:tcPr>
            <w:tcW w:type="dxa" w:w="7210"/>
            <w:vAlign w:val="center"/>
            <w:tcMar>
              <w:top w:w="90" w:type="dxa"/>
              <w:start w:w="120" w:type="dxa"/>
              <w:bottom w:w="90" w:type="dxa"/>
              <w:end w:w="120" w:type="dxa"/>
            </w:tcMar>
            <w:shd w:fill="F2F4F7"/>
          </w:tcPr>
          <w:p>
            <w:pPr>
              <w:spacing w:after="0"/>
            </w:pPr>
            <w:r>
              <w:rPr>
                <w:rFonts w:ascii="Calibri" w:hAnsi="Calibri"/>
                <w:b/>
                <w:i w:val="0"/>
                <w:color w:val="12324B"/>
                <w:sz w:val="20"/>
              </w:rPr>
              <w:t>Required behavior</w:t>
            </w:r>
          </w:p>
        </w:tc>
      </w:tr>
      <w:tr>
        <w:tc>
          <w:tcPr>
            <w:tcW w:type="dxa" w:w="2150"/>
          </w:tcPr>
          <w:p>
            <w:pPr>
              <w:spacing w:after="0"/>
            </w:pPr>
            <w:r>
              <w:rPr>
                <w:rFonts w:ascii="Calibri" w:hAnsi="Calibri"/>
                <w:b w:val="0"/>
                <w:i w:val="0"/>
                <w:color w:val="12324B"/>
                <w:sz w:val="19"/>
              </w:rPr>
              <w:t>Record first</w:t>
            </w:r>
          </w:p>
        </w:tc>
        <w:tc>
          <w:tcPr>
            <w:tcW w:type="dxa" w:w="7210"/>
          </w:tcPr>
          <w:p>
            <w:pPr>
              <w:spacing w:after="0"/>
            </w:pPr>
            <w:r>
              <w:rPr>
                <w:rFonts w:ascii="Calibri" w:hAnsi="Calibri"/>
                <w:b w:val="0"/>
                <w:i w:val="0"/>
                <w:color w:val="12324B"/>
                <w:sz w:val="19"/>
              </w:rPr>
              <w:t>Write a completed session to durable local storage before attempting network transmission.</w:t>
            </w:r>
          </w:p>
        </w:tc>
      </w:tr>
      <w:tr>
        <w:tc>
          <w:tcPr>
            <w:tcW w:type="dxa" w:w="2150"/>
          </w:tcPr>
          <w:p>
            <w:pPr>
              <w:spacing w:after="0"/>
            </w:pPr>
            <w:r>
              <w:rPr>
                <w:rFonts w:ascii="Calibri" w:hAnsi="Calibri"/>
                <w:b w:val="0"/>
                <w:i w:val="0"/>
                <w:color w:val="12324B"/>
                <w:sz w:val="19"/>
              </w:rPr>
              <w:t>Immutable identity</w:t>
            </w:r>
          </w:p>
        </w:tc>
        <w:tc>
          <w:tcPr>
            <w:tcW w:type="dxa" w:w="7210"/>
          </w:tcPr>
          <w:p>
            <w:pPr>
              <w:spacing w:after="0"/>
            </w:pPr>
            <w:r>
              <w:rPr>
                <w:rFonts w:ascii="Calibri" w:hAnsi="Calibri"/>
                <w:b w:val="0"/>
                <w:i w:val="0"/>
                <w:color w:val="12324B"/>
                <w:sz w:val="19"/>
              </w:rPr>
              <w:t>Every event has session_id, device_id, assignment_id, sequence number, and created_at.</w:t>
            </w:r>
          </w:p>
        </w:tc>
      </w:tr>
      <w:tr>
        <w:tc>
          <w:tcPr>
            <w:tcW w:type="dxa" w:w="2150"/>
          </w:tcPr>
          <w:p>
            <w:pPr>
              <w:spacing w:after="0"/>
            </w:pPr>
            <w:r>
              <w:rPr>
                <w:rFonts w:ascii="Calibri" w:hAnsi="Calibri"/>
                <w:b w:val="0"/>
                <w:i w:val="0"/>
                <w:color w:val="12324B"/>
                <w:sz w:val="19"/>
              </w:rPr>
              <w:t>Idempotent upload</w:t>
            </w:r>
          </w:p>
        </w:tc>
        <w:tc>
          <w:tcPr>
            <w:tcW w:type="dxa" w:w="7210"/>
          </w:tcPr>
          <w:p>
            <w:pPr>
              <w:spacing w:after="0"/>
            </w:pPr>
            <w:r>
              <w:rPr>
                <w:rFonts w:ascii="Calibri" w:hAnsi="Calibri"/>
                <w:b w:val="0"/>
                <w:i w:val="0"/>
                <w:color w:val="12324B"/>
                <w:sz w:val="19"/>
              </w:rPr>
              <w:t>POSTing the same session_id again returns the original acknowledgement instead of creating a duplicate.</w:t>
            </w:r>
          </w:p>
        </w:tc>
      </w:tr>
      <w:tr>
        <w:tc>
          <w:tcPr>
            <w:tcW w:type="dxa" w:w="2150"/>
          </w:tcPr>
          <w:p>
            <w:pPr>
              <w:spacing w:after="0"/>
            </w:pPr>
            <w:r>
              <w:rPr>
                <w:rFonts w:ascii="Calibri" w:hAnsi="Calibri"/>
                <w:b w:val="0"/>
                <w:i w:val="0"/>
                <w:color w:val="12324B"/>
                <w:sz w:val="19"/>
              </w:rPr>
              <w:t>Acknowledgement</w:t>
            </w:r>
          </w:p>
        </w:tc>
        <w:tc>
          <w:tcPr>
            <w:tcW w:type="dxa" w:w="7210"/>
          </w:tcPr>
          <w:p>
            <w:pPr>
              <w:spacing w:after="0"/>
            </w:pPr>
            <w:r>
              <w:rPr>
                <w:rFonts w:ascii="Calibri" w:hAnsi="Calibri"/>
                <w:b w:val="0"/>
                <w:i w:val="0"/>
                <w:color w:val="12324B"/>
                <w:sz w:val="19"/>
              </w:rPr>
              <w:t>Delete/compact local data only after the server confirms the event ID.</w:t>
            </w:r>
          </w:p>
        </w:tc>
      </w:tr>
      <w:tr>
        <w:tc>
          <w:tcPr>
            <w:tcW w:type="dxa" w:w="2150"/>
          </w:tcPr>
          <w:p>
            <w:pPr>
              <w:spacing w:after="0"/>
            </w:pPr>
            <w:r>
              <w:rPr>
                <w:rFonts w:ascii="Calibri" w:hAnsi="Calibri"/>
                <w:b w:val="0"/>
                <w:i w:val="0"/>
                <w:color w:val="12324B"/>
                <w:sz w:val="19"/>
              </w:rPr>
              <w:t>Ordering</w:t>
            </w:r>
          </w:p>
        </w:tc>
        <w:tc>
          <w:tcPr>
            <w:tcW w:type="dxa" w:w="7210"/>
          </w:tcPr>
          <w:p>
            <w:pPr>
              <w:spacing w:after="0"/>
            </w:pPr>
            <w:r>
              <w:rPr>
                <w:rFonts w:ascii="Calibri" w:hAnsi="Calibri"/>
                <w:b w:val="0"/>
                <w:i w:val="0"/>
                <w:color w:val="12324B"/>
                <w:sz w:val="19"/>
              </w:rPr>
              <w:t>Use device sequence numbers to detect gaps even if events arrive out of order.</w:t>
            </w:r>
          </w:p>
        </w:tc>
      </w:tr>
      <w:tr>
        <w:tc>
          <w:tcPr>
            <w:tcW w:type="dxa" w:w="2150"/>
          </w:tcPr>
          <w:p>
            <w:pPr>
              <w:spacing w:after="0"/>
            </w:pPr>
            <w:r>
              <w:rPr>
                <w:rFonts w:ascii="Calibri" w:hAnsi="Calibri"/>
                <w:b w:val="0"/>
                <w:i w:val="0"/>
                <w:color w:val="12324B"/>
                <w:sz w:val="19"/>
              </w:rPr>
              <w:t>Conflict rule</w:t>
            </w:r>
          </w:p>
        </w:tc>
        <w:tc>
          <w:tcPr>
            <w:tcW w:type="dxa" w:w="7210"/>
          </w:tcPr>
          <w:p>
            <w:pPr>
              <w:spacing w:after="0"/>
            </w:pPr>
            <w:r>
              <w:rPr>
                <w:rFonts w:ascii="Calibri" w:hAnsi="Calibri"/>
                <w:b w:val="0"/>
                <w:i w:val="0"/>
                <w:color w:val="12324B"/>
                <w:sz w:val="19"/>
              </w:rPr>
              <w:t>Device-generated session facts are append-only; server annotations never rewrite raw device facts.</w:t>
            </w:r>
          </w:p>
        </w:tc>
      </w:tr>
      <w:tr>
        <w:tc>
          <w:tcPr>
            <w:tcW w:type="dxa" w:w="2150"/>
          </w:tcPr>
          <w:p>
            <w:pPr>
              <w:spacing w:after="0"/>
            </w:pPr>
            <w:r>
              <w:rPr>
                <w:rFonts w:ascii="Calibri" w:hAnsi="Calibri"/>
                <w:b w:val="0"/>
                <w:i w:val="0"/>
                <w:color w:val="12324B"/>
                <w:sz w:val="19"/>
              </w:rPr>
              <w:t>Time quality</w:t>
            </w:r>
          </w:p>
        </w:tc>
        <w:tc>
          <w:tcPr>
            <w:tcW w:type="dxa" w:w="7210"/>
          </w:tcPr>
          <w:p>
            <w:pPr>
              <w:spacing w:after="0"/>
            </w:pPr>
            <w:r>
              <w:rPr>
                <w:rFonts w:ascii="Calibri" w:hAnsi="Calibri"/>
                <w:b w:val="0"/>
                <w:i w:val="0"/>
                <w:color w:val="12324B"/>
                <w:sz w:val="19"/>
              </w:rPr>
              <w:t>Store UTC timestamp plus source: NTP, phone-provided, or unsynchronized. Preserve sequence when time is uncertain.</w:t>
            </w:r>
          </w:p>
        </w:tc>
      </w:tr>
    </w:tbl>
    <w:p>
      <w:pPr>
        <w:spacing w:after="0"/>
      </w:pPr>
    </w:p>
    <w:p>
      <w:pPr>
        <w:pStyle w:val="Heading1"/>
      </w:pPr>
      <w:r>
        <w:t>9. Doctor and Patient Experience</w:t>
      </w:r>
    </w:p>
    <w:p>
      <w:pPr>
        <w:pStyle w:val="Heading2"/>
      </w:pPr>
      <w:r>
        <w:t>9.1 Doctor portal</w:t>
      </w:r>
    </w:p>
    <w:tbl>
      <w:tblPr>
        <w:tblW w:type="dxa" w:w="9360"/>
        <w:jc w:val="left"/>
        <w:tblLayout w:type="fixed"/>
        <w:tblLook w:firstColumn="1" w:firstRow="1" w:lastColumn="0" w:lastRow="0" w:noHBand="0" w:noVBand="1" w:val="04A0"/>
        <w:tblInd w:w="120" w:type="dxa"/>
      </w:tblPr>
      <w:tblGrid>
        <w:gridCol w:w="2100"/>
        <w:gridCol w:w="2050"/>
        <w:gridCol w:w="5210"/>
      </w:tblGrid>
      <w:tr>
        <w:trPr>
          <w:tblHeader w:val="true"/>
        </w:trPr>
        <w:tc>
          <w:tcPr>
            <w:tcW w:type="dxa" w:w="2100"/>
            <w:vAlign w:val="center"/>
            <w:tcMar>
              <w:top w:w="90" w:type="dxa"/>
              <w:start w:w="120" w:type="dxa"/>
              <w:bottom w:w="90" w:type="dxa"/>
              <w:end w:w="120" w:type="dxa"/>
            </w:tcMar>
            <w:shd w:fill="F2F4F7"/>
          </w:tcPr>
          <w:p>
            <w:pPr>
              <w:spacing w:after="0"/>
            </w:pPr>
            <w:r>
              <w:rPr>
                <w:rFonts w:ascii="Calibri" w:hAnsi="Calibri"/>
                <w:b/>
                <w:i w:val="0"/>
                <w:color w:val="12324B"/>
                <w:sz w:val="20"/>
              </w:rPr>
              <w:t>Doctor goal</w:t>
            </w:r>
          </w:p>
        </w:tc>
        <w:tc>
          <w:tcPr>
            <w:tcW w:type="dxa" w:w="2050"/>
            <w:vAlign w:val="center"/>
            <w:tcMar>
              <w:top w:w="90" w:type="dxa"/>
              <w:start w:w="120" w:type="dxa"/>
              <w:bottom w:w="90" w:type="dxa"/>
              <w:end w:w="120" w:type="dxa"/>
            </w:tcMar>
            <w:shd w:fill="F2F4F7"/>
          </w:tcPr>
          <w:p>
            <w:pPr>
              <w:spacing w:after="0"/>
            </w:pPr>
            <w:r>
              <w:rPr>
                <w:rFonts w:ascii="Calibri" w:hAnsi="Calibri"/>
                <w:b/>
                <w:i w:val="0"/>
                <w:color w:val="12324B"/>
                <w:sz w:val="20"/>
              </w:rPr>
              <w:t>Primary action</w:t>
            </w:r>
          </w:p>
        </w:tc>
        <w:tc>
          <w:tcPr>
            <w:tcW w:type="dxa" w:w="5210"/>
            <w:vAlign w:val="center"/>
            <w:tcMar>
              <w:top w:w="90" w:type="dxa"/>
              <w:start w:w="120" w:type="dxa"/>
              <w:bottom w:w="90" w:type="dxa"/>
              <w:end w:w="120" w:type="dxa"/>
            </w:tcMar>
            <w:shd w:fill="F2F4F7"/>
          </w:tcPr>
          <w:p>
            <w:pPr>
              <w:spacing w:after="0"/>
            </w:pPr>
            <w:r>
              <w:rPr>
                <w:rFonts w:ascii="Calibri" w:hAnsi="Calibri"/>
                <w:b/>
                <w:i w:val="0"/>
                <w:color w:val="12324B"/>
                <w:sz w:val="20"/>
              </w:rPr>
              <w:t>Result</w:t>
            </w:r>
          </w:p>
        </w:tc>
      </w:tr>
      <w:tr>
        <w:tc>
          <w:tcPr>
            <w:tcW w:type="dxa" w:w="2100"/>
          </w:tcPr>
          <w:p>
            <w:pPr>
              <w:spacing w:after="0"/>
            </w:pPr>
            <w:r>
              <w:rPr>
                <w:rFonts w:ascii="Calibri" w:hAnsi="Calibri"/>
                <w:b w:val="0"/>
                <w:i w:val="0"/>
                <w:color w:val="12324B"/>
                <w:sz w:val="19"/>
              </w:rPr>
              <w:t>Enroll patient</w:t>
            </w:r>
          </w:p>
        </w:tc>
        <w:tc>
          <w:tcPr>
            <w:tcW w:type="dxa" w:w="2050"/>
          </w:tcPr>
          <w:p>
            <w:pPr>
              <w:spacing w:after="0"/>
            </w:pPr>
            <w:r>
              <w:rPr>
                <w:rFonts w:ascii="Calibri" w:hAnsi="Calibri"/>
                <w:b w:val="0"/>
                <w:i w:val="0"/>
                <w:color w:val="12324B"/>
                <w:sz w:val="19"/>
              </w:rPr>
              <w:t>Add Patient</w:t>
            </w:r>
          </w:p>
        </w:tc>
        <w:tc>
          <w:tcPr>
            <w:tcW w:type="dxa" w:w="5210"/>
          </w:tcPr>
          <w:p>
            <w:pPr>
              <w:spacing w:after="0"/>
            </w:pPr>
            <w:r>
              <w:rPr>
                <w:rFonts w:ascii="Calibri" w:hAnsi="Calibri"/>
                <w:b w:val="0"/>
                <w:i w:val="0"/>
                <w:color w:val="12324B"/>
                <w:sz w:val="19"/>
              </w:rPr>
              <w:t>Creates patient and sends invitation.</w:t>
            </w:r>
          </w:p>
        </w:tc>
      </w:tr>
      <w:tr>
        <w:tc>
          <w:tcPr>
            <w:tcW w:type="dxa" w:w="2100"/>
          </w:tcPr>
          <w:p>
            <w:pPr>
              <w:spacing w:after="0"/>
            </w:pPr>
            <w:r>
              <w:rPr>
                <w:rFonts w:ascii="Calibri" w:hAnsi="Calibri"/>
                <w:b w:val="0"/>
                <w:i w:val="0"/>
                <w:color w:val="12324B"/>
                <w:sz w:val="19"/>
              </w:rPr>
              <w:t>Allocate hardware</w:t>
            </w:r>
          </w:p>
        </w:tc>
        <w:tc>
          <w:tcPr>
            <w:tcW w:type="dxa" w:w="2050"/>
          </w:tcPr>
          <w:p>
            <w:pPr>
              <w:spacing w:after="0"/>
            </w:pPr>
            <w:r>
              <w:rPr>
                <w:rFonts w:ascii="Calibri" w:hAnsi="Calibri"/>
                <w:b w:val="0"/>
                <w:i w:val="0"/>
                <w:color w:val="12324B"/>
                <w:sz w:val="19"/>
              </w:rPr>
              <w:t>Assign Device</w:t>
            </w:r>
          </w:p>
        </w:tc>
        <w:tc>
          <w:tcPr>
            <w:tcW w:type="dxa" w:w="5210"/>
          </w:tcPr>
          <w:p>
            <w:pPr>
              <w:spacing w:after="0"/>
            </w:pPr>
            <w:r>
              <w:rPr>
                <w:rFonts w:ascii="Calibri" w:hAnsi="Calibri"/>
                <w:b w:val="0"/>
                <w:i w:val="0"/>
                <w:color w:val="12324B"/>
                <w:sz w:val="19"/>
              </w:rPr>
              <w:t>Creates a historical assignment and claim code.</w:t>
            </w:r>
          </w:p>
        </w:tc>
      </w:tr>
      <w:tr>
        <w:tc>
          <w:tcPr>
            <w:tcW w:type="dxa" w:w="2100"/>
          </w:tcPr>
          <w:p>
            <w:pPr>
              <w:spacing w:after="0"/>
            </w:pPr>
            <w:r>
              <w:rPr>
                <w:rFonts w:ascii="Calibri" w:hAnsi="Calibri"/>
                <w:b w:val="0"/>
                <w:i w:val="0"/>
                <w:color w:val="12324B"/>
                <w:sz w:val="19"/>
              </w:rPr>
              <w:t>Plan care</w:t>
            </w:r>
          </w:p>
        </w:tc>
        <w:tc>
          <w:tcPr>
            <w:tcW w:type="dxa" w:w="2050"/>
          </w:tcPr>
          <w:p>
            <w:pPr>
              <w:spacing w:after="0"/>
            </w:pPr>
            <w:r>
              <w:rPr>
                <w:rFonts w:ascii="Calibri" w:hAnsi="Calibri"/>
                <w:b w:val="0"/>
                <w:i w:val="0"/>
                <w:color w:val="12324B"/>
                <w:sz w:val="19"/>
              </w:rPr>
              <w:t>Create Schedule</w:t>
            </w:r>
          </w:p>
        </w:tc>
        <w:tc>
          <w:tcPr>
            <w:tcW w:type="dxa" w:w="5210"/>
          </w:tcPr>
          <w:p>
            <w:pPr>
              <w:spacing w:after="0"/>
            </w:pPr>
            <w:r>
              <w:rPr>
                <w:rFonts w:ascii="Calibri" w:hAnsi="Calibri"/>
                <w:b w:val="0"/>
                <w:i w:val="0"/>
                <w:color w:val="12324B"/>
                <w:sz w:val="19"/>
              </w:rPr>
              <w:t>Selects frequency/duration template and one or many patients.</w:t>
            </w:r>
          </w:p>
        </w:tc>
      </w:tr>
      <w:tr>
        <w:tc>
          <w:tcPr>
            <w:tcW w:type="dxa" w:w="2100"/>
          </w:tcPr>
          <w:p>
            <w:pPr>
              <w:spacing w:after="0"/>
            </w:pPr>
            <w:r>
              <w:rPr>
                <w:rFonts w:ascii="Calibri" w:hAnsi="Calibri"/>
                <w:b w:val="0"/>
                <w:i w:val="0"/>
                <w:color w:val="12324B"/>
                <w:sz w:val="19"/>
              </w:rPr>
              <w:t>Monitor</w:t>
            </w:r>
          </w:p>
        </w:tc>
        <w:tc>
          <w:tcPr>
            <w:tcW w:type="dxa" w:w="2050"/>
          </w:tcPr>
          <w:p>
            <w:pPr>
              <w:spacing w:after="0"/>
            </w:pPr>
            <w:r>
              <w:rPr>
                <w:rFonts w:ascii="Calibri" w:hAnsi="Calibri"/>
                <w:b w:val="0"/>
                <w:i w:val="0"/>
                <w:color w:val="12324B"/>
                <w:sz w:val="19"/>
              </w:rPr>
              <w:t>Open Patient</w:t>
            </w:r>
          </w:p>
        </w:tc>
        <w:tc>
          <w:tcPr>
            <w:tcW w:type="dxa" w:w="5210"/>
          </w:tcPr>
          <w:p>
            <w:pPr>
              <w:spacing w:after="0"/>
            </w:pPr>
            <w:r>
              <w:rPr>
                <w:rFonts w:ascii="Calibri" w:hAnsi="Calibri"/>
                <w:b w:val="0"/>
                <w:i w:val="0"/>
                <w:color w:val="12324B"/>
                <w:sz w:val="19"/>
              </w:rPr>
              <w:t>Shows adherence, sessions, last sync, alerts, and assigned device.</w:t>
            </w:r>
          </w:p>
        </w:tc>
      </w:tr>
      <w:tr>
        <w:tc>
          <w:tcPr>
            <w:tcW w:type="dxa" w:w="2100"/>
          </w:tcPr>
          <w:p>
            <w:pPr>
              <w:spacing w:after="0"/>
            </w:pPr>
            <w:r>
              <w:rPr>
                <w:rFonts w:ascii="Calibri" w:hAnsi="Calibri"/>
                <w:b w:val="0"/>
                <w:i w:val="0"/>
                <w:color w:val="12324B"/>
                <w:sz w:val="19"/>
              </w:rPr>
              <w:t>Replace hardware</w:t>
            </w:r>
          </w:p>
        </w:tc>
        <w:tc>
          <w:tcPr>
            <w:tcW w:type="dxa" w:w="2050"/>
          </w:tcPr>
          <w:p>
            <w:pPr>
              <w:spacing w:after="0"/>
            </w:pPr>
            <w:r>
              <w:rPr>
                <w:rFonts w:ascii="Calibri" w:hAnsi="Calibri"/>
                <w:b w:val="0"/>
                <w:i w:val="0"/>
                <w:color w:val="12324B"/>
                <w:sz w:val="19"/>
              </w:rPr>
              <w:t>Replace Device</w:t>
            </w:r>
          </w:p>
        </w:tc>
        <w:tc>
          <w:tcPr>
            <w:tcW w:type="dxa" w:w="5210"/>
          </w:tcPr>
          <w:p>
            <w:pPr>
              <w:spacing w:after="0"/>
            </w:pPr>
            <w:r>
              <w:rPr>
                <w:rFonts w:ascii="Calibri" w:hAnsi="Calibri"/>
                <w:b w:val="0"/>
                <w:i w:val="0"/>
                <w:color w:val="12324B"/>
                <w:sz w:val="19"/>
              </w:rPr>
              <w:t>Closes old assignment and begins replacement wizard.</w:t>
            </w:r>
          </w:p>
        </w:tc>
      </w:tr>
      <w:tr>
        <w:tc>
          <w:tcPr>
            <w:tcW w:type="dxa" w:w="2100"/>
          </w:tcPr>
          <w:p>
            <w:pPr>
              <w:spacing w:after="0"/>
            </w:pPr>
            <w:r>
              <w:rPr>
                <w:rFonts w:ascii="Calibri" w:hAnsi="Calibri"/>
                <w:b w:val="0"/>
                <w:i w:val="0"/>
                <w:color w:val="12324B"/>
                <w:sz w:val="19"/>
              </w:rPr>
              <w:t>Close participation</w:t>
            </w:r>
          </w:p>
        </w:tc>
        <w:tc>
          <w:tcPr>
            <w:tcW w:type="dxa" w:w="2050"/>
          </w:tcPr>
          <w:p>
            <w:pPr>
              <w:spacing w:after="0"/>
            </w:pPr>
            <w:r>
              <w:rPr>
                <w:rFonts w:ascii="Calibri" w:hAnsi="Calibri"/>
                <w:b w:val="0"/>
                <w:i w:val="0"/>
                <w:color w:val="12324B"/>
                <w:sz w:val="19"/>
              </w:rPr>
              <w:t>Close Program</w:t>
            </w:r>
          </w:p>
        </w:tc>
        <w:tc>
          <w:tcPr>
            <w:tcW w:type="dxa" w:w="5210"/>
          </w:tcPr>
          <w:p>
            <w:pPr>
              <w:spacing w:after="0"/>
            </w:pPr>
            <w:r>
              <w:rPr>
                <w:rFonts w:ascii="Calibri" w:hAnsi="Calibri"/>
                <w:b w:val="0"/>
                <w:i w:val="0"/>
                <w:color w:val="12324B"/>
                <w:sz w:val="19"/>
              </w:rPr>
              <w:t>Ends schedules and access after confirmation.</w:t>
            </w:r>
          </w:p>
        </w:tc>
      </w:tr>
    </w:tbl>
    <w:p>
      <w:pPr>
        <w:spacing w:after="0"/>
      </w:pPr>
    </w:p>
    <w:p>
      <w:pPr>
        <w:pStyle w:val="Heading2"/>
      </w:pPr>
      <w:r>
        <w:t>9.2 Patient app</w:t>
      </w:r>
    </w:p>
    <w:p>
      <w:pPr>
        <w:pStyle w:val="ListBullet"/>
        <w:spacing w:after="80"/>
      </w:pPr>
      <w:r>
        <w:t>Home screen shows one clear card: next session time and Start Session button.</w:t>
      </w:r>
    </w:p>
    <w:p>
      <w:pPr>
        <w:pStyle w:val="ListBullet"/>
        <w:spacing w:after="80"/>
      </w:pPr>
      <w:r>
        <w:t>Connection screen shows Connected, Setup required, or Device unavailable in plain language.</w:t>
      </w:r>
    </w:p>
    <w:p>
      <w:pPr>
        <w:pStyle w:val="ListBullet"/>
        <w:spacing w:after="80"/>
      </w:pPr>
      <w:r>
        <w:t>Manual frequency slider appears only if the doctor’s care plan allows it and remains within the prescribed range.</w:t>
      </w:r>
    </w:p>
    <w:p>
      <w:pPr>
        <w:pStyle w:val="ListBullet"/>
        <w:spacing w:after="80"/>
      </w:pPr>
      <w:r>
        <w:t>Sync status uses simple messages such as All data saved or Waiting for internet; no technical queue controls are exposed.</w:t>
      </w:r>
    </w:p>
    <w:p>
      <w:pPr>
        <w:pStyle w:val="ListBullet"/>
        <w:spacing w:after="80"/>
      </w:pPr>
      <w:r>
        <w:t>Report Device Problem and Request Exit are visible support actions, not destructive local deletion actions.</w:t>
      </w:r>
    </w:p>
    <w:p>
      <w:pPr>
        <w:pStyle w:val="Heading1"/>
      </w:pPr>
      <w:r>
        <w:t>10. Replanned Operational Scenarios</w:t>
      </w:r>
    </w:p>
    <w:p>
      <w:pPr>
        <w:pStyle w:val="Heading2"/>
      </w:pPr>
      <w:r>
        <w:t>10.1 New patient and device assignment</w:t>
      </w:r>
    </w:p>
    <w:p>
      <w:pPr>
        <w:pStyle w:val="ListNumber"/>
        <w:spacing w:after="80"/>
      </w:pPr>
      <w:r>
        <w:t>Doctor adds the patient and care plan.</w:t>
      </w:r>
    </w:p>
    <w:p>
      <w:pPr>
        <w:pStyle w:val="ListNumber"/>
        <w:spacing w:after="80"/>
      </w:pPr>
      <w:r>
        <w:t>Doctor selects an Available device and confirms Assign.</w:t>
      </w:r>
    </w:p>
    <w:p>
      <w:pPr>
        <w:pStyle w:val="ListNumber"/>
        <w:spacing w:after="80"/>
      </w:pPr>
      <w:r>
        <w:t>Patient receives an app invitation and scans the device claim code.</w:t>
      </w:r>
    </w:p>
    <w:p>
      <w:pPr>
        <w:pStyle w:val="ListNumber"/>
        <w:spacing w:after="80"/>
      </w:pPr>
      <w:r>
        <w:t>App pairs through BLE and provisions Wi-Fi.</w:t>
      </w:r>
    </w:p>
    <w:p>
      <w:pPr>
        <w:pStyle w:val="ListNumber"/>
        <w:spacing w:after="80"/>
      </w:pPr>
      <w:r>
        <w:t>Device authenticates with the backend and downloads limits.</w:t>
      </w:r>
    </w:p>
    <w:p>
      <w:pPr>
        <w:pStyle w:val="ListNumber"/>
        <w:spacing w:after="80"/>
      </w:pPr>
      <w:r>
        <w:t>Portal shows Assignment Active; patient sees the next scheduled session.</w:t>
      </w:r>
    </w:p>
    <w:p>
      <w:pPr>
        <w:pStyle w:val="Heading2"/>
      </w:pPr>
      <w:r>
        <w:t>10.2 Faulty-device replacement</w:t>
      </w:r>
    </w:p>
    <w:p>
      <w:pPr>
        <w:pStyle w:val="ListNumber"/>
        <w:spacing w:after="80"/>
      </w:pPr>
      <w:r>
        <w:t>Patient taps Report Device Problem; the portal creates an actionable alert.</w:t>
      </w:r>
    </w:p>
    <w:p>
      <w:pPr>
        <w:pStyle w:val="ListNumber"/>
        <w:spacing w:after="80"/>
      </w:pPr>
      <w:r>
        <w:t>Doctor chooses Replace Device and selects a replacement from Available inventory.</w:t>
      </w:r>
    </w:p>
    <w:p>
      <w:pPr>
        <w:pStyle w:val="ListNumber"/>
        <w:spacing w:after="80"/>
      </w:pPr>
      <w:r>
        <w:t>Backend closes the old assignment at an exact timestamp without changing prior sessions.</w:t>
      </w:r>
    </w:p>
    <w:p>
      <w:pPr>
        <w:pStyle w:val="ListNumber"/>
        <w:spacing w:after="80"/>
      </w:pPr>
      <w:r>
        <w:t>Old device status becomes Faulty/Return Pending and cannot upload new patient sessions after closure except queued events created before closure.</w:t>
      </w:r>
    </w:p>
    <w:p>
      <w:pPr>
        <w:pStyle w:val="ListNumber"/>
        <w:spacing w:after="80"/>
      </w:pPr>
      <w:r>
        <w:t>A new assignment and claim invitation are created for the replacement device.</w:t>
      </w:r>
    </w:p>
    <w:p>
      <w:pPr>
        <w:pStyle w:val="ListNumber"/>
        <w:spacing w:after="80"/>
      </w:pPr>
      <w:r>
        <w:t>Patient commissions the replacement; existing care plan and future schedule remain attached to the patient, not copied from the faulty hardware.</w:t>
      </w:r>
    </w:p>
    <w:p>
      <w:pPr>
        <w:pStyle w:val="ListNumber"/>
        <w:spacing w:after="80"/>
      </w:pPr>
      <w:r>
        <w:t>Returned hardware is synchronized, sanitized, inspected, and then marked Available or Retired.</w:t>
      </w:r>
    </w:p>
    <w:p>
      <w:pPr>
        <w:pStyle w:val="Heading2"/>
      </w:pPr>
      <w:r>
        <w:t>10.3 Patient exits the test/program</w:t>
      </w:r>
    </w:p>
    <w:p>
      <w:pPr>
        <w:pStyle w:val="ListNumber"/>
        <w:spacing w:after="80"/>
      </w:pPr>
      <w:r>
        <w:t>Patient submits Request Exit; the app confirms that this stops future sessions but does not erase records immediately.</w:t>
      </w:r>
    </w:p>
    <w:p>
      <w:pPr>
        <w:pStyle w:val="ListNumber"/>
        <w:spacing w:after="80"/>
      </w:pPr>
      <w:r>
        <w:t>Doctor reviews and confirms Close Program.</w:t>
      </w:r>
    </w:p>
    <w:p>
      <w:pPr>
        <w:pStyle w:val="ListNumber"/>
        <w:spacing w:after="80"/>
      </w:pPr>
      <w:r>
        <w:t>Backend cancels future schedules, revokes patient control authorization, and closes the active device assignment.</w:t>
      </w:r>
    </w:p>
    <w:p>
      <w:pPr>
        <w:pStyle w:val="ListNumber"/>
        <w:spacing w:after="80"/>
      </w:pPr>
      <w:r>
        <w:t>Device receives a decommission command when next online or through the app, uploads remaining events, and clears patient-specific configuration.</w:t>
      </w:r>
    </w:p>
    <w:p>
      <w:pPr>
        <w:pStyle w:val="ListNumber"/>
        <w:spacing w:after="80"/>
      </w:pPr>
      <w:r>
        <w:t>Historical records remain available only according to the approved consent and retention policy.</w:t>
      </w:r>
    </w:p>
    <w:p>
      <w:pPr>
        <w:pStyle w:val="ListNumber"/>
        <w:spacing w:after="80"/>
      </w:pPr>
      <w:r>
        <w:t>Device returns to Sanitized/Available or Retired after inspection.</w:t>
      </w:r>
    </w:p>
    <w:p>
      <w:pPr>
        <w:pStyle w:val="Heading1"/>
      </w:pPr>
      <w:r>
        <w:t>11. Group Scheduling and Notifications</w:t>
      </w:r>
    </w:p>
    <w:p>
      <w:pPr>
        <w:pStyle w:val="ListNumber"/>
        <w:spacing w:after="80"/>
      </w:pPr>
      <w:r>
        <w:t>Doctor creates a reusable schedule template with frequency, duration, recurrence, start/end dates, and reminder lead time.</w:t>
      </w:r>
    </w:p>
    <w:p>
      <w:pPr>
        <w:pStyle w:val="ListNumber"/>
        <w:spacing w:after="80"/>
      </w:pPr>
      <w:r>
        <w:t>Doctor selects multiple eligible patients; the portal previews conflicts and each patient’s permitted limits.</w:t>
      </w:r>
    </w:p>
    <w:p>
      <w:pPr>
        <w:pStyle w:val="ListNumber"/>
        <w:spacing w:after="80"/>
      </w:pPr>
      <w:r>
        <w:t>Backend creates patient-specific schedule instances rather than one shared mutable record.</w:t>
      </w:r>
    </w:p>
    <w:p>
      <w:pPr>
        <w:pStyle w:val="ListNumber"/>
        <w:spacing w:after="80"/>
      </w:pPr>
      <w:r>
        <w:t>Notification service sends each patient a reminder; the app caches upcoming sessions.</w:t>
      </w:r>
    </w:p>
    <w:p>
      <w:pPr>
        <w:pStyle w:val="ListNumber"/>
        <w:spacing w:after="80"/>
      </w:pPr>
      <w:r>
        <w:t>Completion, missed, cancelled, or pending-sync status is recorded per patient.</w:t>
      </w:r>
    </w:p>
    <w:p>
      <w:pPr>
        <w:pStyle w:val="ListNumber"/>
        <w:spacing w:after="80"/>
      </w:pPr>
      <w:r>
        <w:t>Doctor sees group adherence while retaining patient-level drill-down and privacy boundaries.</w:t>
      </w:r>
    </w:p>
    <w:p>
      <w:pPr>
        <w:pStyle w:val="Heading1"/>
      </w:pPr>
      <w:r>
        <w:t>12. Data Model and Key Constraints</w:t>
      </w:r>
    </w:p>
    <w:tbl>
      <w:tblPr>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90" w:type="dxa"/>
              <w:start w:w="120" w:type="dxa"/>
              <w:bottom w:w="90" w:type="dxa"/>
              <w:end w:w="120" w:type="dxa"/>
            </w:tcMar>
            <w:shd w:fill="F2F4F7"/>
          </w:tcPr>
          <w:p>
            <w:pPr>
              <w:spacing w:after="0"/>
            </w:pPr>
            <w:r>
              <w:rPr>
                <w:rFonts w:ascii="Calibri" w:hAnsi="Calibri"/>
                <w:b/>
                <w:i w:val="0"/>
                <w:color w:val="12324B"/>
                <w:sz w:val="20"/>
              </w:rPr>
              <w:t>Table</w:t>
            </w:r>
          </w:p>
        </w:tc>
        <w:tc>
          <w:tcPr>
            <w:tcW w:type="dxa" w:w="6960"/>
            <w:vAlign w:val="center"/>
            <w:tcMar>
              <w:top w:w="90" w:type="dxa"/>
              <w:start w:w="120" w:type="dxa"/>
              <w:bottom w:w="90" w:type="dxa"/>
              <w:end w:w="120" w:type="dxa"/>
            </w:tcMar>
            <w:shd w:fill="F2F4F7"/>
          </w:tcPr>
          <w:p>
            <w:pPr>
              <w:spacing w:after="0"/>
            </w:pPr>
            <w:r>
              <w:rPr>
                <w:rFonts w:ascii="Calibri" w:hAnsi="Calibri"/>
                <w:b/>
                <w:i w:val="0"/>
                <w:color w:val="12324B"/>
                <w:sz w:val="20"/>
              </w:rPr>
              <w:t>Key fields / constraint</w:t>
            </w:r>
          </w:p>
        </w:tc>
      </w:tr>
      <w:tr>
        <w:tc>
          <w:tcPr>
            <w:tcW w:type="dxa" w:w="2400"/>
          </w:tcPr>
          <w:p>
            <w:pPr>
              <w:spacing w:after="0"/>
            </w:pPr>
            <w:r>
              <w:rPr>
                <w:rFonts w:ascii="Calibri" w:hAnsi="Calibri"/>
                <w:b w:val="0"/>
                <w:i w:val="0"/>
                <w:color w:val="12324B"/>
                <w:sz w:val="19"/>
              </w:rPr>
              <w:t>users</w:t>
            </w:r>
          </w:p>
        </w:tc>
        <w:tc>
          <w:tcPr>
            <w:tcW w:type="dxa" w:w="6960"/>
          </w:tcPr>
          <w:p>
            <w:pPr>
              <w:spacing w:after="0"/>
            </w:pPr>
            <w:r>
              <w:rPr>
                <w:rFonts w:ascii="Calibri" w:hAnsi="Calibri"/>
                <w:b w:val="0"/>
                <w:i w:val="0"/>
                <w:color w:val="12324B"/>
                <w:sz w:val="19"/>
              </w:rPr>
              <w:t>user_id, role, organization_id, status; unique login identity</w:t>
            </w:r>
          </w:p>
        </w:tc>
      </w:tr>
      <w:tr>
        <w:tc>
          <w:tcPr>
            <w:tcW w:type="dxa" w:w="2400"/>
          </w:tcPr>
          <w:p>
            <w:pPr>
              <w:spacing w:after="0"/>
            </w:pPr>
            <w:r>
              <w:rPr>
                <w:rFonts w:ascii="Calibri" w:hAnsi="Calibri"/>
                <w:b w:val="0"/>
                <w:i w:val="0"/>
                <w:color w:val="12324B"/>
                <w:sz w:val="19"/>
              </w:rPr>
              <w:t>patients</w:t>
            </w:r>
          </w:p>
        </w:tc>
        <w:tc>
          <w:tcPr>
            <w:tcW w:type="dxa" w:w="6960"/>
          </w:tcPr>
          <w:p>
            <w:pPr>
              <w:spacing w:after="0"/>
            </w:pPr>
            <w:r>
              <w:rPr>
                <w:rFonts w:ascii="Calibri" w:hAnsi="Calibri"/>
                <w:b w:val="0"/>
                <w:i w:val="0"/>
                <w:color w:val="12324B"/>
                <w:sz w:val="19"/>
              </w:rPr>
              <w:t>patient_id, doctor_id, profile, consent_status, program_status</w:t>
            </w:r>
          </w:p>
        </w:tc>
      </w:tr>
      <w:tr>
        <w:tc>
          <w:tcPr>
            <w:tcW w:type="dxa" w:w="2400"/>
          </w:tcPr>
          <w:p>
            <w:pPr>
              <w:spacing w:after="0"/>
            </w:pPr>
            <w:r>
              <w:rPr>
                <w:rFonts w:ascii="Calibri" w:hAnsi="Calibri"/>
                <w:b w:val="0"/>
                <w:i w:val="0"/>
                <w:color w:val="12324B"/>
                <w:sz w:val="19"/>
              </w:rPr>
              <w:t>devices</w:t>
            </w:r>
          </w:p>
        </w:tc>
        <w:tc>
          <w:tcPr>
            <w:tcW w:type="dxa" w:w="6960"/>
          </w:tcPr>
          <w:p>
            <w:pPr>
              <w:spacing w:after="0"/>
            </w:pPr>
            <w:r>
              <w:rPr>
                <w:rFonts w:ascii="Calibri" w:hAnsi="Calibri"/>
                <w:b w:val="0"/>
                <w:i w:val="0"/>
                <w:color w:val="12324B"/>
                <w:sz w:val="19"/>
              </w:rPr>
              <w:t>device_id, serial/display name, lifecycle_status, firmware, last_seen</w:t>
            </w:r>
          </w:p>
        </w:tc>
      </w:tr>
      <w:tr>
        <w:tc>
          <w:tcPr>
            <w:tcW w:type="dxa" w:w="2400"/>
          </w:tcPr>
          <w:p>
            <w:pPr>
              <w:spacing w:after="0"/>
            </w:pPr>
            <w:r>
              <w:rPr>
                <w:rFonts w:ascii="Calibri" w:hAnsi="Calibri"/>
                <w:b w:val="0"/>
                <w:i w:val="0"/>
                <w:color w:val="12324B"/>
                <w:sz w:val="19"/>
              </w:rPr>
              <w:t>device_assignments</w:t>
            </w:r>
          </w:p>
        </w:tc>
        <w:tc>
          <w:tcPr>
            <w:tcW w:type="dxa" w:w="6960"/>
          </w:tcPr>
          <w:p>
            <w:pPr>
              <w:spacing w:after="0"/>
            </w:pPr>
            <w:r>
              <w:rPr>
                <w:rFonts w:ascii="Calibri" w:hAnsi="Calibri"/>
                <w:b w:val="0"/>
                <w:i w:val="0"/>
                <w:color w:val="12324B"/>
                <w:sz w:val="19"/>
              </w:rPr>
              <w:t>assignment_id, device_id, patient_id, starts_at, ends_at; no overlapping active assignment</w:t>
            </w:r>
          </w:p>
        </w:tc>
      </w:tr>
      <w:tr>
        <w:tc>
          <w:tcPr>
            <w:tcW w:type="dxa" w:w="2400"/>
          </w:tcPr>
          <w:p>
            <w:pPr>
              <w:spacing w:after="0"/>
            </w:pPr>
            <w:r>
              <w:rPr>
                <w:rFonts w:ascii="Calibri" w:hAnsi="Calibri"/>
                <w:b w:val="0"/>
                <w:i w:val="0"/>
                <w:color w:val="12324B"/>
                <w:sz w:val="19"/>
              </w:rPr>
              <w:t>care_plans</w:t>
            </w:r>
          </w:p>
        </w:tc>
        <w:tc>
          <w:tcPr>
            <w:tcW w:type="dxa" w:w="6960"/>
          </w:tcPr>
          <w:p>
            <w:pPr>
              <w:spacing w:after="0"/>
            </w:pPr>
            <w:r>
              <w:rPr>
                <w:rFonts w:ascii="Calibri" w:hAnsi="Calibri"/>
                <w:b w:val="0"/>
                <w:i w:val="0"/>
                <w:color w:val="12324B"/>
                <w:sz w:val="19"/>
              </w:rPr>
              <w:t>care_plan_id, patient_id, min_hz, max_hz &lt;= 230, max_duration, effective dates</w:t>
            </w:r>
          </w:p>
        </w:tc>
      </w:tr>
      <w:tr>
        <w:tc>
          <w:tcPr>
            <w:tcW w:type="dxa" w:w="2400"/>
          </w:tcPr>
          <w:p>
            <w:pPr>
              <w:spacing w:after="0"/>
            </w:pPr>
            <w:r>
              <w:rPr>
                <w:rFonts w:ascii="Calibri" w:hAnsi="Calibri"/>
                <w:b w:val="0"/>
                <w:i w:val="0"/>
                <w:color w:val="12324B"/>
                <w:sz w:val="19"/>
              </w:rPr>
              <w:t>schedule_templates</w:t>
            </w:r>
          </w:p>
        </w:tc>
        <w:tc>
          <w:tcPr>
            <w:tcW w:type="dxa" w:w="6960"/>
          </w:tcPr>
          <w:p>
            <w:pPr>
              <w:spacing w:after="0"/>
            </w:pPr>
            <w:r>
              <w:rPr>
                <w:rFonts w:ascii="Calibri" w:hAnsi="Calibri"/>
                <w:b w:val="0"/>
                <w:i w:val="0"/>
                <w:color w:val="12324B"/>
                <w:sz w:val="19"/>
              </w:rPr>
              <w:t>template parameters owned by doctor/organization</w:t>
            </w:r>
          </w:p>
        </w:tc>
      </w:tr>
      <w:tr>
        <w:tc>
          <w:tcPr>
            <w:tcW w:type="dxa" w:w="2400"/>
          </w:tcPr>
          <w:p>
            <w:pPr>
              <w:spacing w:after="0"/>
            </w:pPr>
            <w:r>
              <w:rPr>
                <w:rFonts w:ascii="Calibri" w:hAnsi="Calibri"/>
                <w:b w:val="0"/>
                <w:i w:val="0"/>
                <w:color w:val="12324B"/>
                <w:sz w:val="19"/>
              </w:rPr>
              <w:t>scheduled_sessions</w:t>
            </w:r>
          </w:p>
        </w:tc>
        <w:tc>
          <w:tcPr>
            <w:tcW w:type="dxa" w:w="6960"/>
          </w:tcPr>
          <w:p>
            <w:pPr>
              <w:spacing w:after="0"/>
            </w:pPr>
            <w:r>
              <w:rPr>
                <w:rFonts w:ascii="Calibri" w:hAnsi="Calibri"/>
                <w:b w:val="0"/>
                <w:i w:val="0"/>
                <w:color w:val="12324B"/>
                <w:sz w:val="19"/>
              </w:rPr>
              <w:t>patient-specific occurrence, planned time, status, reminder status</w:t>
            </w:r>
          </w:p>
        </w:tc>
      </w:tr>
      <w:tr>
        <w:tc>
          <w:tcPr>
            <w:tcW w:type="dxa" w:w="2400"/>
          </w:tcPr>
          <w:p>
            <w:pPr>
              <w:spacing w:after="0"/>
            </w:pPr>
            <w:r>
              <w:rPr>
                <w:rFonts w:ascii="Calibri" w:hAnsi="Calibri"/>
                <w:b w:val="0"/>
                <w:i w:val="0"/>
                <w:color w:val="12324B"/>
                <w:sz w:val="19"/>
              </w:rPr>
              <w:t>therapy_sessions</w:t>
            </w:r>
          </w:p>
        </w:tc>
        <w:tc>
          <w:tcPr>
            <w:tcW w:type="dxa" w:w="6960"/>
          </w:tcPr>
          <w:p>
            <w:pPr>
              <w:spacing w:after="0"/>
            </w:pPr>
            <w:r>
              <w:rPr>
                <w:rFonts w:ascii="Calibri" w:hAnsi="Calibri"/>
                <w:b w:val="0"/>
                <w:i w:val="0"/>
                <w:color w:val="12324B"/>
                <w:sz w:val="19"/>
              </w:rPr>
              <w:t>session_id unique, assignment_id, schedule_id, requested/estimated/measured Hz, duration, sync source</w:t>
            </w:r>
          </w:p>
        </w:tc>
      </w:tr>
      <w:tr>
        <w:tc>
          <w:tcPr>
            <w:tcW w:type="dxa" w:w="2400"/>
          </w:tcPr>
          <w:p>
            <w:pPr>
              <w:spacing w:after="0"/>
            </w:pPr>
            <w:r>
              <w:rPr>
                <w:rFonts w:ascii="Calibri" w:hAnsi="Calibri"/>
                <w:b w:val="0"/>
                <w:i w:val="0"/>
                <w:color w:val="12324B"/>
                <w:sz w:val="19"/>
              </w:rPr>
              <w:t>sync_receipts</w:t>
            </w:r>
          </w:p>
        </w:tc>
        <w:tc>
          <w:tcPr>
            <w:tcW w:type="dxa" w:w="6960"/>
          </w:tcPr>
          <w:p>
            <w:pPr>
              <w:spacing w:after="0"/>
            </w:pPr>
            <w:r>
              <w:rPr>
                <w:rFonts w:ascii="Calibri" w:hAnsi="Calibri"/>
                <w:b w:val="0"/>
                <w:i w:val="0"/>
                <w:color w:val="12324B"/>
                <w:sz w:val="19"/>
              </w:rPr>
              <w:t>event_id unique, received_at, route, device sequence, acknowledgement</w:t>
            </w:r>
          </w:p>
        </w:tc>
      </w:tr>
      <w:tr>
        <w:tc>
          <w:tcPr>
            <w:tcW w:type="dxa" w:w="2400"/>
          </w:tcPr>
          <w:p>
            <w:pPr>
              <w:spacing w:after="0"/>
            </w:pPr>
            <w:r>
              <w:rPr>
                <w:rFonts w:ascii="Calibri" w:hAnsi="Calibri"/>
                <w:b w:val="0"/>
                <w:i w:val="0"/>
                <w:color w:val="12324B"/>
                <w:sz w:val="19"/>
              </w:rPr>
              <w:t>audit_events</w:t>
            </w:r>
          </w:p>
        </w:tc>
        <w:tc>
          <w:tcPr>
            <w:tcW w:type="dxa" w:w="6960"/>
          </w:tcPr>
          <w:p>
            <w:pPr>
              <w:spacing w:after="0"/>
            </w:pPr>
            <w:r>
              <w:rPr>
                <w:rFonts w:ascii="Calibri" w:hAnsi="Calibri"/>
                <w:b w:val="0"/>
                <w:i w:val="0"/>
                <w:color w:val="12324B"/>
                <w:sz w:val="19"/>
              </w:rPr>
              <w:t>actor, action, target, before/after summary, UTC timestamp</w:t>
            </w:r>
          </w:p>
        </w:tc>
      </w:tr>
    </w:tbl>
    <w:p>
      <w:pPr>
        <w:spacing w:after="0"/>
      </w:pPr>
    </w:p>
    <w:p>
      <w:pPr>
        <w:pStyle w:val="Heading1"/>
      </w:pPr>
      <w:r>
        <w:t>13. API Surface</w:t>
      </w:r>
    </w:p>
    <w:tbl>
      <w:tblPr>
        <w:tblW w:type="dxa" w:w="9360"/>
        <w:jc w:val="left"/>
        <w:tblLayout w:type="fixed"/>
        <w:tblLook w:firstColumn="1" w:firstRow="1" w:lastColumn="0" w:lastRow="0" w:noHBand="0" w:noVBand="1" w:val="04A0"/>
        <w:tblInd w:w="120" w:type="dxa"/>
      </w:tblPr>
      <w:tblGrid>
        <w:gridCol w:w="2400"/>
        <w:gridCol w:w="6960"/>
      </w:tblGrid>
      <w:tr>
        <w:trPr>
          <w:tblHeader w:val="true"/>
        </w:trPr>
        <w:tc>
          <w:tcPr>
            <w:tcW w:type="dxa" w:w="2400"/>
            <w:vAlign w:val="center"/>
            <w:tcMar>
              <w:top w:w="90" w:type="dxa"/>
              <w:start w:w="120" w:type="dxa"/>
              <w:bottom w:w="90" w:type="dxa"/>
              <w:end w:w="120" w:type="dxa"/>
            </w:tcMar>
            <w:shd w:fill="F2F4F7"/>
          </w:tcPr>
          <w:p>
            <w:pPr>
              <w:spacing w:after="0"/>
            </w:pPr>
            <w:r>
              <w:rPr>
                <w:rFonts w:ascii="Calibri" w:hAnsi="Calibri"/>
                <w:b/>
                <w:i w:val="0"/>
                <w:color w:val="12324B"/>
                <w:sz w:val="20"/>
              </w:rPr>
              <w:t>Area</w:t>
            </w:r>
          </w:p>
        </w:tc>
        <w:tc>
          <w:tcPr>
            <w:tcW w:type="dxa" w:w="6960"/>
            <w:vAlign w:val="center"/>
            <w:tcMar>
              <w:top w:w="90" w:type="dxa"/>
              <w:start w:w="120" w:type="dxa"/>
              <w:bottom w:w="90" w:type="dxa"/>
              <w:end w:w="120" w:type="dxa"/>
            </w:tcMar>
            <w:shd w:fill="F2F4F7"/>
          </w:tcPr>
          <w:p>
            <w:pPr>
              <w:spacing w:after="0"/>
            </w:pPr>
            <w:r>
              <w:rPr>
                <w:rFonts w:ascii="Calibri" w:hAnsi="Calibri"/>
                <w:b/>
                <w:i w:val="0"/>
                <w:color w:val="12324B"/>
                <w:sz w:val="20"/>
              </w:rPr>
              <w:t>Example operations</w:t>
            </w:r>
          </w:p>
        </w:tc>
      </w:tr>
      <w:tr>
        <w:tc>
          <w:tcPr>
            <w:tcW w:type="dxa" w:w="2400"/>
          </w:tcPr>
          <w:p>
            <w:pPr>
              <w:spacing w:after="0"/>
            </w:pPr>
            <w:r>
              <w:rPr>
                <w:rFonts w:ascii="Calibri" w:hAnsi="Calibri"/>
                <w:b w:val="0"/>
                <w:i w:val="0"/>
                <w:color w:val="12324B"/>
                <w:sz w:val="19"/>
              </w:rPr>
              <w:t>Authentication</w:t>
            </w:r>
          </w:p>
        </w:tc>
        <w:tc>
          <w:tcPr>
            <w:tcW w:type="dxa" w:w="6960"/>
          </w:tcPr>
          <w:p>
            <w:pPr>
              <w:spacing w:after="0"/>
            </w:pPr>
            <w:r>
              <w:rPr>
                <w:rFonts w:ascii="Calibri" w:hAnsi="Calibri"/>
                <w:b w:val="0"/>
                <w:i w:val="0"/>
                <w:color w:val="12324B"/>
                <w:sz w:val="19"/>
              </w:rPr>
              <w:t>login, refresh token, logout, password reset</w:t>
            </w:r>
          </w:p>
        </w:tc>
      </w:tr>
      <w:tr>
        <w:tc>
          <w:tcPr>
            <w:tcW w:type="dxa" w:w="2400"/>
          </w:tcPr>
          <w:p>
            <w:pPr>
              <w:spacing w:after="0"/>
            </w:pPr>
            <w:r>
              <w:rPr>
                <w:rFonts w:ascii="Calibri" w:hAnsi="Calibri"/>
                <w:b w:val="0"/>
                <w:i w:val="0"/>
                <w:color w:val="12324B"/>
                <w:sz w:val="19"/>
              </w:rPr>
              <w:t>Patients</w:t>
            </w:r>
          </w:p>
        </w:tc>
        <w:tc>
          <w:tcPr>
            <w:tcW w:type="dxa" w:w="6960"/>
          </w:tcPr>
          <w:p>
            <w:pPr>
              <w:spacing w:after="0"/>
            </w:pPr>
            <w:r>
              <w:rPr>
                <w:rFonts w:ascii="Calibri" w:hAnsi="Calibri"/>
                <w:b w:val="0"/>
                <w:i w:val="0"/>
                <w:color w:val="12324B"/>
                <w:sz w:val="19"/>
              </w:rPr>
              <w:t>create patient, update profile, invite, pause/close program</w:t>
            </w:r>
          </w:p>
        </w:tc>
      </w:tr>
      <w:tr>
        <w:tc>
          <w:tcPr>
            <w:tcW w:type="dxa" w:w="2400"/>
          </w:tcPr>
          <w:p>
            <w:pPr>
              <w:spacing w:after="0"/>
            </w:pPr>
            <w:r>
              <w:rPr>
                <w:rFonts w:ascii="Calibri" w:hAnsi="Calibri"/>
                <w:b w:val="0"/>
                <w:i w:val="0"/>
                <w:color w:val="12324B"/>
                <w:sz w:val="19"/>
              </w:rPr>
              <w:t>Devices</w:t>
            </w:r>
          </w:p>
        </w:tc>
        <w:tc>
          <w:tcPr>
            <w:tcW w:type="dxa" w:w="6960"/>
          </w:tcPr>
          <w:p>
            <w:pPr>
              <w:spacing w:after="0"/>
            </w:pPr>
            <w:r>
              <w:rPr>
                <w:rFonts w:ascii="Calibri" w:hAnsi="Calibri"/>
                <w:b w:val="0"/>
                <w:i w:val="0"/>
                <w:color w:val="12324B"/>
                <w:sz w:val="19"/>
              </w:rPr>
              <w:t>claim, list inventory, report status, mark faulty, sanitize, retire</w:t>
            </w:r>
          </w:p>
        </w:tc>
      </w:tr>
      <w:tr>
        <w:tc>
          <w:tcPr>
            <w:tcW w:type="dxa" w:w="2400"/>
          </w:tcPr>
          <w:p>
            <w:pPr>
              <w:spacing w:after="0"/>
            </w:pPr>
            <w:r>
              <w:rPr>
                <w:rFonts w:ascii="Calibri" w:hAnsi="Calibri"/>
                <w:b w:val="0"/>
                <w:i w:val="0"/>
                <w:color w:val="12324B"/>
                <w:sz w:val="19"/>
              </w:rPr>
              <w:t>Assignments</w:t>
            </w:r>
          </w:p>
        </w:tc>
        <w:tc>
          <w:tcPr>
            <w:tcW w:type="dxa" w:w="6960"/>
          </w:tcPr>
          <w:p>
            <w:pPr>
              <w:spacing w:after="0"/>
            </w:pPr>
            <w:r>
              <w:rPr>
                <w:rFonts w:ascii="Calibri" w:hAnsi="Calibri"/>
                <w:b w:val="0"/>
                <w:i w:val="0"/>
                <w:color w:val="12324B"/>
                <w:sz w:val="19"/>
              </w:rPr>
              <w:t>assign, replace, close, get current and history</w:t>
            </w:r>
          </w:p>
        </w:tc>
      </w:tr>
      <w:tr>
        <w:tc>
          <w:tcPr>
            <w:tcW w:type="dxa" w:w="2400"/>
          </w:tcPr>
          <w:p>
            <w:pPr>
              <w:spacing w:after="0"/>
            </w:pPr>
            <w:r>
              <w:rPr>
                <w:rFonts w:ascii="Calibri" w:hAnsi="Calibri"/>
                <w:b w:val="0"/>
                <w:i w:val="0"/>
                <w:color w:val="12324B"/>
                <w:sz w:val="19"/>
              </w:rPr>
              <w:t>Care plans</w:t>
            </w:r>
          </w:p>
        </w:tc>
        <w:tc>
          <w:tcPr>
            <w:tcW w:type="dxa" w:w="6960"/>
          </w:tcPr>
          <w:p>
            <w:pPr>
              <w:spacing w:after="0"/>
            </w:pPr>
            <w:r>
              <w:rPr>
                <w:rFonts w:ascii="Calibri" w:hAnsi="Calibri"/>
                <w:b w:val="0"/>
                <w:i w:val="0"/>
                <w:color w:val="12324B"/>
                <w:sz w:val="19"/>
              </w:rPr>
              <w:t>create version, activate, expire; device/app read effective plan</w:t>
            </w:r>
          </w:p>
        </w:tc>
      </w:tr>
      <w:tr>
        <w:tc>
          <w:tcPr>
            <w:tcW w:type="dxa" w:w="2400"/>
          </w:tcPr>
          <w:p>
            <w:pPr>
              <w:spacing w:after="0"/>
            </w:pPr>
            <w:r>
              <w:rPr>
                <w:rFonts w:ascii="Calibri" w:hAnsi="Calibri"/>
                <w:b w:val="0"/>
                <w:i w:val="0"/>
                <w:color w:val="12324B"/>
                <w:sz w:val="19"/>
              </w:rPr>
              <w:t>Schedules</w:t>
            </w:r>
          </w:p>
        </w:tc>
        <w:tc>
          <w:tcPr>
            <w:tcW w:type="dxa" w:w="6960"/>
          </w:tcPr>
          <w:p>
            <w:pPr>
              <w:spacing w:after="0"/>
            </w:pPr>
            <w:r>
              <w:rPr>
                <w:rFonts w:ascii="Calibri" w:hAnsi="Calibri"/>
                <w:b w:val="0"/>
                <w:i w:val="0"/>
                <w:color w:val="12324B"/>
                <w:sz w:val="19"/>
              </w:rPr>
              <w:t>create template, assign patients, list occurrences, cancel</w:t>
            </w:r>
          </w:p>
        </w:tc>
      </w:tr>
      <w:tr>
        <w:tc>
          <w:tcPr>
            <w:tcW w:type="dxa" w:w="2400"/>
          </w:tcPr>
          <w:p>
            <w:pPr>
              <w:spacing w:after="0"/>
            </w:pPr>
            <w:r>
              <w:rPr>
                <w:rFonts w:ascii="Calibri" w:hAnsi="Calibri"/>
                <w:b w:val="0"/>
                <w:i w:val="0"/>
                <w:color w:val="12324B"/>
                <w:sz w:val="19"/>
              </w:rPr>
              <w:t>Sessions</w:t>
            </w:r>
          </w:p>
        </w:tc>
        <w:tc>
          <w:tcPr>
            <w:tcW w:type="dxa" w:w="6960"/>
          </w:tcPr>
          <w:p>
            <w:pPr>
              <w:spacing w:after="0"/>
            </w:pPr>
            <w:r>
              <w:rPr>
                <w:rFonts w:ascii="Calibri" w:hAnsi="Calibri"/>
                <w:b w:val="0"/>
                <w:i w:val="0"/>
                <w:color w:val="12324B"/>
                <w:sz w:val="19"/>
              </w:rPr>
              <w:t>idempotent upload, acknowledgement, patient history, doctor report</w:t>
            </w:r>
          </w:p>
        </w:tc>
      </w:tr>
      <w:tr>
        <w:tc>
          <w:tcPr>
            <w:tcW w:type="dxa" w:w="2400"/>
          </w:tcPr>
          <w:p>
            <w:pPr>
              <w:spacing w:after="0"/>
            </w:pPr>
            <w:r>
              <w:rPr>
                <w:rFonts w:ascii="Calibri" w:hAnsi="Calibri"/>
                <w:b w:val="0"/>
                <w:i w:val="0"/>
                <w:color w:val="12324B"/>
                <w:sz w:val="19"/>
              </w:rPr>
              <w:t>Sync</w:t>
            </w:r>
          </w:p>
        </w:tc>
        <w:tc>
          <w:tcPr>
            <w:tcW w:type="dxa" w:w="6960"/>
          </w:tcPr>
          <w:p>
            <w:pPr>
              <w:spacing w:after="0"/>
            </w:pPr>
            <w:r>
              <w:rPr>
                <w:rFonts w:ascii="Calibri" w:hAnsi="Calibri"/>
                <w:b w:val="0"/>
                <w:i w:val="0"/>
                <w:color w:val="12324B"/>
                <w:sz w:val="19"/>
              </w:rPr>
              <w:t>upload batch, acknowledge IDs, report sequence gaps</w:t>
            </w:r>
          </w:p>
        </w:tc>
      </w:tr>
    </w:tbl>
    <w:p>
      <w:pPr>
        <w:spacing w:after="0"/>
      </w:pPr>
    </w:p>
    <w:p>
      <w:pPr>
        <w:pStyle w:val="Heading1"/>
      </w:pPr>
      <w:r>
        <w:t>14. Security, Privacy, and Safety</w:t>
      </w:r>
    </w:p>
    <w:p>
      <w:pPr>
        <w:pStyle w:val="ListBullet"/>
        <w:spacing w:after="80"/>
      </w:pPr>
      <w:r>
        <w:t>Use individual doctor and patient accounts with role- and organization-scoped authorization.</w:t>
      </w:r>
    </w:p>
    <w:p>
      <w:pPr>
        <w:pStyle w:val="ListBullet"/>
        <w:spacing w:after="80"/>
      </w:pPr>
      <w:r>
        <w:t>Use a unique device credential per NeuroSense unit; never embed a shared database or administrator key in firmware.</w:t>
      </w:r>
    </w:p>
    <w:p>
      <w:pPr>
        <w:pStyle w:val="ListBullet"/>
        <w:spacing w:after="80"/>
      </w:pPr>
      <w:r>
        <w:t>Authenticate BLE commissioning with a one-time claim code and short-lived enrollment credential.</w:t>
      </w:r>
    </w:p>
    <w:p>
      <w:pPr>
        <w:pStyle w:val="ListBullet"/>
        <w:spacing w:after="80"/>
      </w:pPr>
      <w:r>
        <w:t>Encrypt transport, device configuration, and mobile local records. Keep Wi-Fi passwords out of server logs and therapy records.</w:t>
      </w:r>
    </w:p>
    <w:p>
      <w:pPr>
        <w:pStyle w:val="ListBullet"/>
        <w:spacing w:after="80"/>
      </w:pPr>
      <w:r>
        <w:t>Keep patient-identifying data off the ESP32 unless explicitly required and approved.</w:t>
      </w:r>
    </w:p>
    <w:p>
      <w:pPr>
        <w:pStyle w:val="ListBullet"/>
        <w:spacing w:after="80"/>
      </w:pPr>
      <w:r>
        <w:t>Use audit events for access, assignment, care-plan changes, replacement, exit, export, and deletion actions.</w:t>
      </w:r>
    </w:p>
    <w:p>
      <w:pPr>
        <w:pStyle w:val="ListBullet"/>
        <w:spacing w:after="80"/>
      </w:pPr>
      <w:r>
        <w:t>Enforce frequency and duration limits independently on backend, app, and device; the device remains the final safety boundary.</w:t>
      </w:r>
    </w:p>
    <w:p>
      <w:pPr>
        <w:pStyle w:val="ListBullet"/>
        <w:spacing w:after="80"/>
      </w:pPr>
      <w:r>
        <w:t>For clinical deployment, obtain formal privacy, cybersecurity, safety, and regulatory review before using real patient data.</w:t>
      </w:r>
    </w:p>
    <w:p>
      <w:pPr>
        <w:pStyle w:val="Heading1"/>
      </w:pPr>
      <w:r>
        <w:t>15. Lifecycle Model</w:t>
      </w:r>
    </w:p>
    <w:p>
      <w:r>
        <w:drawing>
          <wp:inline xmlns:a="http://schemas.openxmlformats.org/drawingml/2006/main" xmlns:pic="http://schemas.openxmlformats.org/drawingml/2006/picture">
            <wp:extent cx="6080760" cy="3680460"/>
            <wp:docPr id="2" name="Picture 2" title="NeuroVibe lifecycle model" descr="Three independent state flows show device lifecycle, patient-program lifecycle, and therapy-session lifecycle. Historical assignments are closed rather than overwritten."/>
            <wp:cNvGraphicFramePr>
              <a:graphicFrameLocks noChangeAspect="1"/>
            </wp:cNvGraphicFramePr>
            <a:graphic>
              <a:graphicData uri="http://schemas.openxmlformats.org/drawingml/2006/picture">
                <pic:pic>
                  <pic:nvPicPr>
                    <pic:cNvPr id="0" name="neurovibe-lifecycle-v2.png"/>
                    <pic:cNvPicPr/>
                  </pic:nvPicPr>
                  <pic:blipFill>
                    <a:blip r:embed="rId11"/>
                    <a:stretch>
                      <a:fillRect/>
                    </a:stretch>
                  </pic:blipFill>
                  <pic:spPr>
                    <a:xfrm>
                      <a:off x="0" y="0"/>
                      <a:ext cx="6080760" cy="3680460"/>
                    </a:xfrm>
                    <a:prstGeom prst="rect"/>
                  </pic:spPr>
                </pic:pic>
              </a:graphicData>
            </a:graphic>
          </wp:inline>
        </w:drawing>
      </w:r>
    </w:p>
    <w:p>
      <w:pPr>
        <w:jc w:val="center"/>
      </w:pPr>
      <w:r>
        <w:rPr>
          <w:rFonts w:ascii="Calibri" w:hAnsi="Calibri"/>
          <w:b w:val="0"/>
          <w:i/>
          <w:color w:val="557082"/>
          <w:sz w:val="18"/>
        </w:rPr>
        <w:t>Figure 2. Independent device, patient-program, and session lifecycles</w:t>
      </w:r>
    </w:p>
    <w:p>
      <w:pPr>
        <w:pStyle w:val="Heading1"/>
      </w:pPr>
      <w:r>
        <w:t>16. Implementation Roadmap</w:t>
      </w:r>
    </w:p>
    <w:tbl>
      <w:tblPr>
        <w:tblW w:type="dxa" w:w="9360"/>
        <w:jc w:val="left"/>
        <w:tblLayout w:type="fixed"/>
        <w:tblLook w:firstColumn="1" w:firstRow="1" w:lastColumn="0" w:lastRow="0" w:noHBand="0" w:noVBand="1" w:val="04A0"/>
        <w:tblInd w:w="120" w:type="dxa"/>
      </w:tblPr>
      <w:tblGrid>
        <w:gridCol w:w="1150"/>
        <w:gridCol w:w="4620"/>
        <w:gridCol w:w="3590"/>
      </w:tblGrid>
      <w:tr>
        <w:trPr>
          <w:tblHeader w:val="true"/>
        </w:trPr>
        <w:tc>
          <w:tcPr>
            <w:tcW w:type="dxa" w:w="1150"/>
            <w:vAlign w:val="center"/>
            <w:tcMar>
              <w:top w:w="90" w:type="dxa"/>
              <w:start w:w="120" w:type="dxa"/>
              <w:bottom w:w="90" w:type="dxa"/>
              <w:end w:w="120" w:type="dxa"/>
            </w:tcMar>
            <w:shd w:fill="F2F4F7"/>
          </w:tcPr>
          <w:p>
            <w:pPr>
              <w:spacing w:after="0"/>
            </w:pPr>
            <w:r>
              <w:rPr>
                <w:rFonts w:ascii="Calibri" w:hAnsi="Calibri"/>
                <w:b/>
                <w:i w:val="0"/>
                <w:color w:val="12324B"/>
                <w:sz w:val="20"/>
              </w:rPr>
              <w:t>Phase</w:t>
            </w:r>
          </w:p>
        </w:tc>
        <w:tc>
          <w:tcPr>
            <w:tcW w:type="dxa" w:w="4620"/>
            <w:vAlign w:val="center"/>
            <w:tcMar>
              <w:top w:w="90" w:type="dxa"/>
              <w:start w:w="120" w:type="dxa"/>
              <w:bottom w:w="90" w:type="dxa"/>
              <w:end w:w="120" w:type="dxa"/>
            </w:tcMar>
            <w:shd w:fill="F2F4F7"/>
          </w:tcPr>
          <w:p>
            <w:pPr>
              <w:spacing w:after="0"/>
            </w:pPr>
            <w:r>
              <w:rPr>
                <w:rFonts w:ascii="Calibri" w:hAnsi="Calibri"/>
                <w:b/>
                <w:i w:val="0"/>
                <w:color w:val="12324B"/>
                <w:sz w:val="20"/>
              </w:rPr>
              <w:t>Build</w:t>
            </w:r>
          </w:p>
        </w:tc>
        <w:tc>
          <w:tcPr>
            <w:tcW w:type="dxa" w:w="3590"/>
            <w:vAlign w:val="center"/>
            <w:tcMar>
              <w:top w:w="90" w:type="dxa"/>
              <w:start w:w="120" w:type="dxa"/>
              <w:bottom w:w="90" w:type="dxa"/>
              <w:end w:w="120" w:type="dxa"/>
            </w:tcMar>
            <w:shd w:fill="F2F4F7"/>
          </w:tcPr>
          <w:p>
            <w:pPr>
              <w:spacing w:after="0"/>
            </w:pPr>
            <w:r>
              <w:rPr>
                <w:rFonts w:ascii="Calibri" w:hAnsi="Calibri"/>
                <w:b/>
                <w:i w:val="0"/>
                <w:color w:val="12324B"/>
                <w:sz w:val="20"/>
              </w:rPr>
              <w:t>Exit criteria</w:t>
            </w:r>
          </w:p>
        </w:tc>
      </w:tr>
      <w:tr>
        <w:tc>
          <w:tcPr>
            <w:tcW w:type="dxa" w:w="1150"/>
          </w:tcPr>
          <w:p>
            <w:pPr>
              <w:spacing w:after="0"/>
            </w:pPr>
            <w:r>
              <w:rPr>
                <w:rFonts w:ascii="Calibri" w:hAnsi="Calibri"/>
                <w:b w:val="0"/>
                <w:i w:val="0"/>
                <w:color w:val="12324B"/>
                <w:sz w:val="19"/>
              </w:rPr>
              <w:t>1. Backend core</w:t>
            </w:r>
          </w:p>
        </w:tc>
        <w:tc>
          <w:tcPr>
            <w:tcW w:type="dxa" w:w="4620"/>
          </w:tcPr>
          <w:p>
            <w:pPr>
              <w:spacing w:after="0"/>
            </w:pPr>
            <w:r>
              <w:rPr>
                <w:rFonts w:ascii="Calibri" w:hAnsi="Calibri"/>
                <w:b w:val="0"/>
                <w:i w:val="0"/>
                <w:color w:val="12324B"/>
                <w:sz w:val="19"/>
              </w:rPr>
              <w:t>Auth, PostgreSQL schema, API, audit and idempotent session ingestion.</w:t>
            </w:r>
          </w:p>
        </w:tc>
        <w:tc>
          <w:tcPr>
            <w:tcW w:type="dxa" w:w="3590"/>
          </w:tcPr>
          <w:p>
            <w:pPr>
              <w:spacing w:after="0"/>
            </w:pPr>
            <w:r>
              <w:rPr>
                <w:rFonts w:ascii="Calibri" w:hAnsi="Calibri"/>
                <w:b w:val="0"/>
                <w:i w:val="0"/>
                <w:color w:val="12324B"/>
                <w:sz w:val="19"/>
              </w:rPr>
              <w:t>Test users, assignments, schedules, and duplicate-safe uploads work.</w:t>
            </w:r>
          </w:p>
        </w:tc>
      </w:tr>
      <w:tr>
        <w:tc>
          <w:tcPr>
            <w:tcW w:type="dxa" w:w="1150"/>
          </w:tcPr>
          <w:p>
            <w:pPr>
              <w:spacing w:after="0"/>
            </w:pPr>
            <w:r>
              <w:rPr>
                <w:rFonts w:ascii="Calibri" w:hAnsi="Calibri"/>
                <w:b w:val="0"/>
                <w:i w:val="0"/>
                <w:color w:val="12324B"/>
                <w:sz w:val="19"/>
              </w:rPr>
              <w:t>2. Doctor portal</w:t>
            </w:r>
          </w:p>
        </w:tc>
        <w:tc>
          <w:tcPr>
            <w:tcW w:type="dxa" w:w="4620"/>
          </w:tcPr>
          <w:p>
            <w:pPr>
              <w:spacing w:after="0"/>
            </w:pPr>
            <w:r>
              <w:rPr>
                <w:rFonts w:ascii="Calibri" w:hAnsi="Calibri"/>
                <w:b w:val="0"/>
                <w:i w:val="0"/>
                <w:color w:val="12324B"/>
                <w:sz w:val="19"/>
              </w:rPr>
              <w:t>Patient, inventory, assignment, care plan and scheduling screens.</w:t>
            </w:r>
          </w:p>
        </w:tc>
        <w:tc>
          <w:tcPr>
            <w:tcW w:type="dxa" w:w="3590"/>
          </w:tcPr>
          <w:p>
            <w:pPr>
              <w:spacing w:after="0"/>
            </w:pPr>
            <w:r>
              <w:rPr>
                <w:rFonts w:ascii="Calibri" w:hAnsi="Calibri"/>
                <w:b w:val="0"/>
                <w:i w:val="0"/>
                <w:color w:val="12324B"/>
                <w:sz w:val="19"/>
              </w:rPr>
              <w:t>Doctor completes scenario 1 without developer assistance.</w:t>
            </w:r>
          </w:p>
        </w:tc>
      </w:tr>
      <w:tr>
        <w:tc>
          <w:tcPr>
            <w:tcW w:type="dxa" w:w="1150"/>
          </w:tcPr>
          <w:p>
            <w:pPr>
              <w:spacing w:after="0"/>
            </w:pPr>
            <w:r>
              <w:rPr>
                <w:rFonts w:ascii="Calibri" w:hAnsi="Calibri"/>
                <w:b w:val="0"/>
                <w:i w:val="0"/>
                <w:color w:val="12324B"/>
                <w:sz w:val="19"/>
              </w:rPr>
              <w:t>3. Device foundation</w:t>
            </w:r>
          </w:p>
        </w:tc>
        <w:tc>
          <w:tcPr>
            <w:tcW w:type="dxa" w:w="4620"/>
          </w:tcPr>
          <w:p>
            <w:pPr>
              <w:spacing w:after="0"/>
            </w:pPr>
            <w:r>
              <w:rPr>
                <w:rFonts w:ascii="Calibri" w:hAnsi="Calibri"/>
                <w:b w:val="0"/>
                <w:i w:val="0"/>
                <w:color w:val="12324B"/>
                <w:sz w:val="19"/>
              </w:rPr>
              <w:t>Identity, BLE commissioning, encrypted settings, motor safety, flash event queue.</w:t>
            </w:r>
          </w:p>
        </w:tc>
        <w:tc>
          <w:tcPr>
            <w:tcW w:type="dxa" w:w="3590"/>
          </w:tcPr>
          <w:p>
            <w:pPr>
              <w:spacing w:after="0"/>
            </w:pPr>
            <w:r>
              <w:rPr>
                <w:rFonts w:ascii="Calibri" w:hAnsi="Calibri"/>
                <w:b w:val="0"/>
                <w:i w:val="0"/>
                <w:color w:val="12324B"/>
                <w:sz w:val="19"/>
              </w:rPr>
              <w:t>Device survives reboot/offline use without losing a session.</w:t>
            </w:r>
          </w:p>
        </w:tc>
      </w:tr>
      <w:tr>
        <w:tc>
          <w:tcPr>
            <w:tcW w:type="dxa" w:w="1150"/>
          </w:tcPr>
          <w:p>
            <w:pPr>
              <w:spacing w:after="0"/>
            </w:pPr>
            <w:r>
              <w:rPr>
                <w:rFonts w:ascii="Calibri" w:hAnsi="Calibri"/>
                <w:b w:val="0"/>
                <w:i w:val="0"/>
                <w:color w:val="12324B"/>
                <w:sz w:val="19"/>
              </w:rPr>
              <w:t>4. Patient app</w:t>
            </w:r>
          </w:p>
        </w:tc>
        <w:tc>
          <w:tcPr>
            <w:tcW w:type="dxa" w:w="4620"/>
          </w:tcPr>
          <w:p>
            <w:pPr>
              <w:spacing w:after="0"/>
            </w:pPr>
            <w:r>
              <w:rPr>
                <w:rFonts w:ascii="Calibri" w:hAnsi="Calibri"/>
                <w:b w:val="0"/>
                <w:i w:val="0"/>
                <w:color w:val="12324B"/>
                <w:sz w:val="19"/>
              </w:rPr>
              <w:t>Invite, BLE setup, session UI, encrypted local queue and notifications.</w:t>
            </w:r>
          </w:p>
        </w:tc>
        <w:tc>
          <w:tcPr>
            <w:tcW w:type="dxa" w:w="3590"/>
          </w:tcPr>
          <w:p>
            <w:pPr>
              <w:spacing w:after="0"/>
            </w:pPr>
            <w:r>
              <w:rPr>
                <w:rFonts w:ascii="Calibri" w:hAnsi="Calibri"/>
                <w:b w:val="0"/>
                <w:i w:val="0"/>
                <w:color w:val="12324B"/>
                <w:sz w:val="19"/>
              </w:rPr>
              <w:t>Patient completes a scheduled offline session in a few taps.</w:t>
            </w:r>
          </w:p>
        </w:tc>
      </w:tr>
      <w:tr>
        <w:tc>
          <w:tcPr>
            <w:tcW w:type="dxa" w:w="1150"/>
          </w:tcPr>
          <w:p>
            <w:pPr>
              <w:spacing w:after="0"/>
            </w:pPr>
            <w:r>
              <w:rPr>
                <w:rFonts w:ascii="Calibri" w:hAnsi="Calibri"/>
                <w:b w:val="0"/>
                <w:i w:val="0"/>
                <w:color w:val="12324B"/>
                <w:sz w:val="19"/>
              </w:rPr>
              <w:t>5. End-to-end sync</w:t>
            </w:r>
          </w:p>
        </w:tc>
        <w:tc>
          <w:tcPr>
            <w:tcW w:type="dxa" w:w="4620"/>
          </w:tcPr>
          <w:p>
            <w:pPr>
              <w:spacing w:after="0"/>
            </w:pPr>
            <w:r>
              <w:rPr>
                <w:rFonts w:ascii="Calibri" w:hAnsi="Calibri"/>
                <w:b w:val="0"/>
                <w:i w:val="0"/>
                <w:color w:val="12324B"/>
                <w:sz w:val="19"/>
              </w:rPr>
              <w:t>Device Wi-Fi upload, app relay, acknowledgement, sequence-gap handling.</w:t>
            </w:r>
          </w:p>
        </w:tc>
        <w:tc>
          <w:tcPr>
            <w:tcW w:type="dxa" w:w="3590"/>
          </w:tcPr>
          <w:p>
            <w:pPr>
              <w:spacing w:after="0"/>
            </w:pPr>
            <w:r>
              <w:rPr>
                <w:rFonts w:ascii="Calibri" w:hAnsi="Calibri"/>
                <w:b w:val="0"/>
                <w:i w:val="0"/>
                <w:color w:val="12324B"/>
                <w:sz w:val="19"/>
              </w:rPr>
              <w:t>Reconnect tests produce no lost or duplicated sessions.</w:t>
            </w:r>
          </w:p>
        </w:tc>
      </w:tr>
      <w:tr>
        <w:tc>
          <w:tcPr>
            <w:tcW w:type="dxa" w:w="1150"/>
          </w:tcPr>
          <w:p>
            <w:pPr>
              <w:spacing w:after="0"/>
            </w:pPr>
            <w:r>
              <w:rPr>
                <w:rFonts w:ascii="Calibri" w:hAnsi="Calibri"/>
                <w:b w:val="0"/>
                <w:i w:val="0"/>
                <w:color w:val="12324B"/>
                <w:sz w:val="19"/>
              </w:rPr>
              <w:t>6. Operations</w:t>
            </w:r>
          </w:p>
        </w:tc>
        <w:tc>
          <w:tcPr>
            <w:tcW w:type="dxa" w:w="4620"/>
          </w:tcPr>
          <w:p>
            <w:pPr>
              <w:spacing w:after="0"/>
            </w:pPr>
            <w:r>
              <w:rPr>
                <w:rFonts w:ascii="Calibri" w:hAnsi="Calibri"/>
                <w:b w:val="0"/>
                <w:i w:val="0"/>
                <w:color w:val="12324B"/>
                <w:sz w:val="19"/>
              </w:rPr>
              <w:t>Replacement, exit, group schedules, reports, sanitization flow.</w:t>
            </w:r>
          </w:p>
        </w:tc>
        <w:tc>
          <w:tcPr>
            <w:tcW w:type="dxa" w:w="3590"/>
          </w:tcPr>
          <w:p>
            <w:pPr>
              <w:spacing w:after="0"/>
            </w:pPr>
            <w:r>
              <w:rPr>
                <w:rFonts w:ascii="Calibri" w:hAnsi="Calibri"/>
                <w:b w:val="0"/>
                <w:i w:val="0"/>
                <w:color w:val="12324B"/>
                <w:sz w:val="19"/>
              </w:rPr>
              <w:t>All three operational scenarios pass acceptance testing.</w:t>
            </w:r>
          </w:p>
        </w:tc>
      </w:tr>
      <w:tr>
        <w:tc>
          <w:tcPr>
            <w:tcW w:type="dxa" w:w="1150"/>
          </w:tcPr>
          <w:p>
            <w:pPr>
              <w:spacing w:after="0"/>
            </w:pPr>
            <w:r>
              <w:rPr>
                <w:rFonts w:ascii="Calibri" w:hAnsi="Calibri"/>
                <w:b w:val="0"/>
                <w:i w:val="0"/>
                <w:color w:val="12324B"/>
                <w:sz w:val="19"/>
              </w:rPr>
              <w:t>7. Measurement</w:t>
            </w:r>
          </w:p>
        </w:tc>
        <w:tc>
          <w:tcPr>
            <w:tcW w:type="dxa" w:w="4620"/>
          </w:tcPr>
          <w:p>
            <w:pPr>
              <w:spacing w:after="0"/>
            </w:pPr>
            <w:r>
              <w:rPr>
                <w:rFonts w:ascii="Calibri" w:hAnsi="Calibri"/>
                <w:b w:val="0"/>
                <w:i w:val="0"/>
                <w:color w:val="12324B"/>
                <w:sz w:val="19"/>
              </w:rPr>
              <w:t>Accelerometer calibration and closed-loop control if required.</w:t>
            </w:r>
          </w:p>
        </w:tc>
        <w:tc>
          <w:tcPr>
            <w:tcW w:type="dxa" w:w="3590"/>
          </w:tcPr>
          <w:p>
            <w:pPr>
              <w:spacing w:after="0"/>
            </w:pPr>
            <w:r>
              <w:rPr>
                <w:rFonts w:ascii="Calibri" w:hAnsi="Calibri"/>
                <w:b w:val="0"/>
                <w:i w:val="0"/>
                <w:color w:val="12324B"/>
                <w:sz w:val="19"/>
              </w:rPr>
              <w:t>Actual measured Hz is validated across the intended range.</w:t>
            </w:r>
          </w:p>
        </w:tc>
      </w:tr>
    </w:tbl>
    <w:p>
      <w:pPr>
        <w:spacing w:after="0"/>
      </w:pPr>
    </w:p>
    <w:p>
      <w:pPr>
        <w:pStyle w:val="Heading1"/>
      </w:pPr>
      <w:r>
        <w:t>17. Senior Review Decisions</w:t>
      </w:r>
    </w:p>
    <w:p>
      <w:pPr>
        <w:pStyle w:val="ListBullet"/>
        <w:spacing w:after="80"/>
      </w:pPr>
      <w:r>
        <w:t>Approve patient app platform: Android-first Flutter or Android+iOS launch.</w:t>
      </w:r>
    </w:p>
    <w:p>
      <w:pPr>
        <w:pStyle w:val="ListBullet"/>
        <w:spacing w:after="80"/>
      </w:pPr>
      <w:r>
        <w:t>Approve initial backend stack and hosting/data region.</w:t>
      </w:r>
    </w:p>
    <w:p>
      <w:pPr>
        <w:pStyle w:val="ListBullet"/>
        <w:spacing w:after="80"/>
      </w:pPr>
      <w:r>
        <w:t>Approve whether NeuroSense may run only scheduled sessions or also doctor-authorized manual sessions.</w:t>
      </w:r>
    </w:p>
    <w:p>
      <w:pPr>
        <w:pStyle w:val="ListBullet"/>
        <w:spacing w:after="80"/>
      </w:pPr>
      <w:r>
        <w:t>Approve clinical limits, emergency-stop behavior, and definition of a completed/missed session.</w:t>
      </w:r>
    </w:p>
    <w:p>
      <w:pPr>
        <w:pStyle w:val="ListBullet"/>
        <w:spacing w:after="80"/>
      </w:pPr>
      <w:r>
        <w:t>Decide whether estimated motor frequency is sufficient for the prototype or an accelerometer is mandatory.</w:t>
      </w:r>
    </w:p>
    <w:p>
      <w:pPr>
        <w:pStyle w:val="ListBullet"/>
        <w:spacing w:after="80"/>
      </w:pPr>
      <w:r>
        <w:t>Approve consent, retention, export, deletion, and device-sanitization policies before real patient enrollment.</w:t>
      </w:r>
    </w:p>
    <w:p>
      <w:pPr>
        <w:pStyle w:val="Heading1"/>
      </w:pPr>
      <w:r>
        <w:t>18. Prototype Acceptance Checklist</w:t>
      </w:r>
    </w:p>
    <w:p>
      <w:pPr>
        <w:pStyle w:val="ListBullet"/>
        <w:spacing w:after="80"/>
      </w:pPr>
      <w:r>
        <w:t>One doctor can enroll patients, assign unique devices, and schedule individual or group sessions.</w:t>
      </w:r>
    </w:p>
    <w:p>
      <w:pPr>
        <w:pStyle w:val="ListBullet"/>
        <w:spacing w:after="80"/>
      </w:pPr>
      <w:r>
        <w:t>A patient can commission only the device assigned to their invitation.</w:t>
      </w:r>
    </w:p>
    <w:p>
      <w:pPr>
        <w:pStyle w:val="ListBullet"/>
        <w:spacing w:after="80"/>
      </w:pPr>
      <w:r>
        <w:t>NeuroSense enforces 0-230 Hz and doctor-defined limits even without the app or internet.</w:t>
      </w:r>
    </w:p>
    <w:p>
      <w:pPr>
        <w:pStyle w:val="ListBullet"/>
        <w:spacing w:after="80"/>
      </w:pPr>
      <w:r>
        <w:t>Every completed session is durable across reboot and loss of connectivity.</w:t>
      </w:r>
    </w:p>
    <w:p>
      <w:pPr>
        <w:pStyle w:val="ListBullet"/>
        <w:spacing w:after="80"/>
      </w:pPr>
      <w:r>
        <w:t>Wi-Fi direct upload and BLE app relay create one server record, not duplicates.</w:t>
      </w:r>
    </w:p>
    <w:p>
      <w:pPr>
        <w:pStyle w:val="ListBullet"/>
        <w:spacing w:after="80"/>
      </w:pPr>
      <w:r>
        <w:t>Doctor can replace a device without losing history or moving old sessions to the new device.</w:t>
      </w:r>
    </w:p>
    <w:p>
      <w:pPr>
        <w:pStyle w:val="ListBullet"/>
        <w:spacing w:after="80"/>
      </w:pPr>
      <w:r>
        <w:t>Patient exit disables future operation, uploads remaining data, and clears patient-specific device configuration.</w:t>
      </w:r>
    </w:p>
    <w:p>
      <w:pPr>
        <w:pStyle w:val="ListBullet"/>
        <w:spacing w:after="80"/>
      </w:pPr>
      <w:r>
        <w:t>Doctor can see last synchronized status and distinguish live, stale, pending, missed, and completed information.</w:t>
      </w:r>
    </w:p>
    <w:sectPr w:rsidR="00FC693F" w:rsidRPr="0006063C" w:rsidSect="00034616">
      <w:footerReference w:type="default" r:id="rId9"/>
      <w:pgSz w:w="12240" w:h="15840"/>
      <w:pgMar w:top="1296" w:right="1224" w:bottom="1152" w:left="1224"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b w:val="0"/>
        <w:i w:val="0"/>
        <w:color w:val="557082"/>
        <w:sz w:val="17"/>
      </w:rPr>
      <w:t xml:space="preserve">NeuroVibe System Architecture | Draft for Review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2324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