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A73"/>
          <w:sz w:val="52"/>
        </w:rPr>
        <w:t>PROCUREGUARD</w:t>
      </w:r>
    </w:p>
    <w:p>
      <w:pPr>
        <w:jc w:val="center"/>
      </w:pPr>
      <w:r>
        <w:rPr>
          <w:b/>
          <w:sz w:val="30"/>
        </w:rPr>
        <w:t>Procurement Contract Compliance &amp; Supplier Analytics</w:t>
      </w:r>
    </w:p>
    <w:p>
      <w:pPr>
        <w:jc w:val="center"/>
      </w:pPr>
      <w:r>
        <w:rPr>
          <w:i/>
        </w:rPr>
        <w:t>Project Report | Excel • Power Query • Power BI • DAX</w:t>
      </w:r>
    </w:p>
    <w:p>
      <w:pPr>
        <w:jc w:val="center"/>
      </w:pPr>
      <w:r>
        <w:rPr>
          <w:sz w:val="18"/>
        </w:rPr>
        <w:t>Reporting snapshot: 31 January 2025 | Synthetic portfolio case study</w:t>
      </w:r>
    </w:p>
    <w:p/>
    <w:p>
      <w:pPr>
        <w:pStyle w:val="Heading1"/>
      </w:pPr>
      <w:r>
        <w:t>1. Executive Summary</w:t>
      </w:r>
    </w:p>
    <w:p>
      <w:r>
        <w:t>ProcureGuard is a portfolio analytics project designed to demonstrate how procurement teams can monitor contract values, invoice rate compliance, contract expiry and supplier obligations in a consolidated Power BI report. The project uses fictional data across supplier, contract, transaction and obligation tables. It is intended to flag records for review, not to establish actual supplier breaches or realized savings.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Reconciled value</w:t>
            </w:r>
          </w:p>
        </w:tc>
      </w:tr>
      <w:tr>
        <w:tc>
          <w:tcPr>
            <w:tcW w:type="dxa" w:w="5040"/>
          </w:tcPr>
          <w:p>
            <w:r>
              <w:t>Total contract value</w:t>
            </w:r>
          </w:p>
        </w:tc>
        <w:tc>
          <w:tcPr>
            <w:tcW w:type="dxa" w:w="5040"/>
          </w:tcPr>
          <w:p>
            <w:r>
              <w:t>₹12.5M</w:t>
            </w:r>
          </w:p>
        </w:tc>
      </w:tr>
      <w:tr>
        <w:tc>
          <w:tcPr>
            <w:tcW w:type="dxa" w:w="5040"/>
          </w:tcPr>
          <w:p>
            <w:r>
              <w:t>Total invoiced spend</w:t>
            </w:r>
          </w:p>
        </w:tc>
        <w:tc>
          <w:tcPr>
            <w:tcW w:type="dxa" w:w="5040"/>
          </w:tcPr>
          <w:p>
            <w:r>
              <w:t>₹9.8M</w:t>
            </w:r>
          </w:p>
        </w:tc>
      </w:tr>
      <w:tr>
        <w:tc>
          <w:tcPr>
            <w:tcW w:type="dxa" w:w="5040"/>
          </w:tcPr>
          <w:p>
            <w:r>
              <w:t>Contracts</w:t>
            </w:r>
          </w:p>
        </w:tc>
        <w:tc>
          <w:tcPr>
            <w:tcW w:type="dxa" w:w="5040"/>
          </w:tcPr>
          <w:p>
            <w:r>
              <w:t>43 total: 34 active, 3 expired, 6 closed</w:t>
            </w:r>
          </w:p>
        </w:tc>
      </w:tr>
      <w:tr>
        <w:tc>
          <w:tcPr>
            <w:tcW w:type="dxa" w:w="5040"/>
          </w:tcPr>
          <w:p>
            <w:r>
              <w:t>Contracts expiring within 90 days</w:t>
            </w:r>
          </w:p>
        </w:tc>
        <w:tc>
          <w:tcPr>
            <w:tcW w:type="dxa" w:w="5040"/>
          </w:tcPr>
          <w:p>
            <w:r>
              <w:t>6 (included within the 34 active contracts)</w:t>
            </w:r>
          </w:p>
        </w:tc>
      </w:tr>
      <w:tr>
        <w:tc>
          <w:tcPr>
            <w:tcW w:type="dxa" w:w="5040"/>
          </w:tcPr>
          <w:p>
            <w:r>
              <w:t>Invoice lines</w:t>
            </w:r>
          </w:p>
        </w:tc>
        <w:tc>
          <w:tcPr>
            <w:tcW w:type="dxa" w:w="5040"/>
          </w:tcPr>
          <w:p>
            <w:r>
              <w:t>142: 118 compliant, 24 flagged</w:t>
            </w:r>
          </w:p>
        </w:tc>
      </w:tr>
      <w:tr>
        <w:tc>
          <w:tcPr>
            <w:tcW w:type="dxa" w:w="5040"/>
          </w:tcPr>
          <w:p>
            <w:r>
              <w:t>Compliance rate</w:t>
            </w:r>
          </w:p>
        </w:tc>
        <w:tc>
          <w:tcPr>
            <w:tcW w:type="dxa" w:w="5040"/>
          </w:tcPr>
          <w:p>
            <w:r>
              <w:t>83.1%</w:t>
            </w:r>
          </w:p>
        </w:tc>
      </w:tr>
      <w:tr>
        <w:tc>
          <w:tcPr>
            <w:tcW w:type="dxa" w:w="5040"/>
          </w:tcPr>
          <w:p>
            <w:r>
              <w:t>Potential positive rate variance</w:t>
            </w:r>
          </w:p>
        </w:tc>
        <w:tc>
          <w:tcPr>
            <w:tcW w:type="dxa" w:w="5040"/>
          </w:tcPr>
          <w:p>
            <w:r>
              <w:t>₹42,000; requires validation</w:t>
            </w:r>
          </w:p>
        </w:tc>
      </w:tr>
      <w:tr>
        <w:tc>
          <w:tcPr>
            <w:tcW w:type="dxa" w:w="5040"/>
          </w:tcPr>
          <w:p>
            <w:r>
              <w:t>Contractual obligations</w:t>
            </w:r>
          </w:p>
        </w:tc>
        <w:tc>
          <w:tcPr>
            <w:tcW w:type="dxa" w:w="5040"/>
          </w:tcPr>
          <w:p>
            <w:r>
              <w:t>78: 56 completed, 8 in progress, 14 overdue</w:t>
            </w:r>
          </w:p>
        </w:tc>
      </w:tr>
      <w:tr>
        <w:tc>
          <w:tcPr>
            <w:tcW w:type="dxa" w:w="5040"/>
          </w:tcPr>
          <w:p>
            <w:r>
              <w:t>Obligation completion rate</w:t>
            </w:r>
          </w:p>
        </w:tc>
        <w:tc>
          <w:tcPr>
            <w:tcW w:type="dxa" w:w="5040"/>
          </w:tcPr>
          <w:p>
            <w:r>
              <w:t>71.8% (72% rounded)</w:t>
            </w:r>
          </w:p>
        </w:tc>
      </w:tr>
    </w:tbl>
    <w:p>
      <w:r>
        <w:t>Important: the ₹42,000 is a potential rate discrepancy in synthetic records, not confirmed overbilling, recovered cash or realized savings.</w:t>
      </w:r>
    </w:p>
    <w:p>
      <w:pPr>
        <w:pStyle w:val="Heading1"/>
      </w:pPr>
      <w:r>
        <w:t>2. Business Problem and Objectives</w:t>
      </w:r>
    </w:p>
    <w:p>
      <w:r>
        <w:t>Procurement teams manage contract terms, purchase activity, supplier invoices and contractual deliverables. When these records are spread across files, it can be difficult to prioritize invoice discrepancies, upcoming renewals and overdue supplier commitments. ProcureGuard consolidates these signals into an interactive reporting concept.</w:t>
      </w:r>
    </w:p>
    <w:p>
      <w:pPr>
        <w:pStyle w:val="ListBullet"/>
      </w:pPr>
      <w:r>
        <w:t>Compare invoiced unit rates with reference contract rates and flag differences for investigation.</w:t>
      </w:r>
    </w:p>
    <w:p>
      <w:pPr>
        <w:pStyle w:val="ListBullet"/>
      </w:pPr>
      <w:r>
        <w:t>Identify active contracts ending within the next 90 days from a fixed reporting snapshot.</w:t>
      </w:r>
    </w:p>
    <w:p>
      <w:pPr>
        <w:pStyle w:val="ListBullet"/>
      </w:pPr>
      <w:r>
        <w:t>Track contractual obligations by completed, in-progress and overdue status.</w:t>
      </w:r>
    </w:p>
    <w:p>
      <w:pPr>
        <w:pStyle w:val="ListBullet"/>
      </w:pPr>
      <w:r>
        <w:t>Summarize spend and exception patterns by supplier and procurement category.</w:t>
      </w:r>
    </w:p>
    <w:p>
      <w:pPr>
        <w:pStyle w:val="ListBullet"/>
      </w:pPr>
      <w:r>
        <w:t>Document validation checks and follow-up recommendations for procurement stakeholders.</w:t>
      </w:r>
    </w:p>
    <w:p>
      <w:pPr>
        <w:pStyle w:val="Heading1"/>
      </w:pPr>
      <w:r>
        <w:t>3. Dataset and Data Dictionary</w:t>
      </w:r>
    </w:p>
    <w:p>
      <w:r>
        <w:t>The Excel workbook contains four analytical tables and a Metric_Checks control sheet. All records are fictional. The intended grain is one row per supplier, contract, invoice line and contractual obligation, respectively.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Table</w:t>
            </w:r>
          </w:p>
        </w:tc>
        <w:tc>
          <w:tcPr>
            <w:tcW w:type="dxa" w:w="3360"/>
          </w:tcPr>
          <w:p>
            <w:r>
              <w:t>Grain</w:t>
            </w:r>
          </w:p>
        </w:tc>
        <w:tc>
          <w:tcPr>
            <w:tcW w:type="dxa" w:w="3360"/>
          </w:tcPr>
          <w:p>
            <w:r>
              <w:t>Key fields / purpose</w:t>
            </w:r>
          </w:p>
        </w:tc>
      </w:tr>
      <w:tr>
        <w:tc>
          <w:tcPr>
            <w:tcW w:type="dxa" w:w="3360"/>
          </w:tcPr>
          <w:p>
            <w:r>
              <w:t>Suppliers</w:t>
            </w:r>
          </w:p>
        </w:tc>
        <w:tc>
          <w:tcPr>
            <w:tcW w:type="dxa" w:w="3360"/>
          </w:tcPr>
          <w:p>
            <w:r>
              <w:t>One row per supplier</w:t>
            </w:r>
          </w:p>
        </w:tc>
        <w:tc>
          <w:tcPr>
            <w:tcW w:type="dxa" w:w="3360"/>
          </w:tcPr>
          <w:p>
            <w:r>
              <w:t>Supplier ID, name, category, region, status</w:t>
            </w:r>
          </w:p>
        </w:tc>
      </w:tr>
      <w:tr>
        <w:tc>
          <w:tcPr>
            <w:tcW w:type="dxa" w:w="3360"/>
          </w:tcPr>
          <w:p>
            <w:r>
              <w:t>Contracts</w:t>
            </w:r>
          </w:p>
        </w:tc>
        <w:tc>
          <w:tcPr>
            <w:tcW w:type="dxa" w:w="3360"/>
          </w:tcPr>
          <w:p>
            <w:r>
              <w:t>One row per contract</w:t>
            </w:r>
          </w:p>
        </w:tc>
        <w:tc>
          <w:tcPr>
            <w:tcW w:type="dxa" w:w="3360"/>
          </w:tcPr>
          <w:p>
            <w:r>
              <w:t>Contract ID, Supplier ID, dates, value, agreed unit rate, payment terms, status</w:t>
            </w:r>
          </w:p>
        </w:tc>
      </w:tr>
      <w:tr>
        <w:tc>
          <w:tcPr>
            <w:tcW w:type="dxa" w:w="3360"/>
          </w:tcPr>
          <w:p>
            <w:r>
              <w:t>Transactions</w:t>
            </w:r>
          </w:p>
        </w:tc>
        <w:tc>
          <w:tcPr>
            <w:tcW w:type="dxa" w:w="3360"/>
          </w:tcPr>
          <w:p>
            <w:r>
              <w:t>One row per invoice line</w:t>
            </w:r>
          </w:p>
        </w:tc>
        <w:tc>
          <w:tcPr>
            <w:tcW w:type="dxa" w:w="3360"/>
          </w:tcPr>
          <w:p>
            <w:r>
              <w:t>PO number, invoice number, Contract ID, quantity, contract rate, invoiced rate, amount, variance, compliance status</w:t>
            </w:r>
          </w:p>
        </w:tc>
      </w:tr>
      <w:tr>
        <w:tc>
          <w:tcPr>
            <w:tcW w:type="dxa" w:w="3360"/>
          </w:tcPr>
          <w:p>
            <w:r>
              <w:t>Obligations</w:t>
            </w:r>
          </w:p>
        </w:tc>
        <w:tc>
          <w:tcPr>
            <w:tcW w:type="dxa" w:w="3360"/>
          </w:tcPr>
          <w:p>
            <w:r>
              <w:t>One row per contractual obligation</w:t>
            </w:r>
          </w:p>
        </w:tc>
        <w:tc>
          <w:tcPr>
            <w:tcW w:type="dxa" w:w="3360"/>
          </w:tcPr>
          <w:p>
            <w:r>
              <w:t>Obligation ID, Contract ID, deliverable, due date, completion date, status, priority</w:t>
            </w:r>
          </w:p>
        </w:tc>
      </w:tr>
      <w:tr>
        <w:tc>
          <w:tcPr>
            <w:tcW w:type="dxa" w:w="3360"/>
          </w:tcPr>
          <w:p>
            <w:r>
              <w:t>Metric_Checks</w:t>
            </w:r>
          </w:p>
        </w:tc>
        <w:tc>
          <w:tcPr>
            <w:tcW w:type="dxa" w:w="3360"/>
          </w:tcPr>
          <w:p>
            <w:r>
              <w:t>One row per control metric</w:t>
            </w:r>
          </w:p>
        </w:tc>
        <w:tc>
          <w:tcPr>
            <w:tcW w:type="dxa" w:w="3360"/>
          </w:tcPr>
          <w:p>
            <w:r>
              <w:t>Snapshot date, expected totals, KPI definitions and reconciliation notes</w:t>
            </w:r>
          </w:p>
        </w:tc>
      </w:tr>
    </w:tbl>
    <w:p>
      <w:pPr>
        <w:pStyle w:val="Heading1"/>
      </w:pPr>
      <w:r>
        <w:t>4. End-to-End Methodology</w:t>
      </w:r>
    </w:p>
    <w:p>
      <w:pPr>
        <w:pStyle w:val="Heading2"/>
      </w:pPr>
      <w:r>
        <w:t>4.1 Requirement definition</w:t>
      </w:r>
    </w:p>
    <w:p>
      <w:r>
        <w:t>Translate procurement needs into measurable questions: invoice rate consistency, contract expiry, obligation completion and supplier exception patterns.</w:t>
      </w:r>
    </w:p>
    <w:p>
      <w:pPr>
        <w:pStyle w:val="Heading2"/>
      </w:pPr>
      <w:r>
        <w:t>4.2 Excel import</w:t>
      </w:r>
    </w:p>
    <w:p>
      <w:r>
        <w:t>In Power BI Desktop, select Home → Get data → Excel workbook, choose the dataset, select the four source tables in Navigator and choose Transform Data.</w:t>
      </w:r>
    </w:p>
    <w:p>
      <w:pPr>
        <w:pStyle w:val="Heading2"/>
      </w:pPr>
      <w:r>
        <w:t>4.3 Power Query cleaning</w:t>
      </w:r>
    </w:p>
    <w:p>
      <w:r>
        <w:t>Set IDs and status fields to Text, dates to Date, quantities to Whole Number and financial fields to numeric types. Standardize statuses, inspect null keys and duplicate dimension IDs, and verify that contract references exist.</w:t>
      </w:r>
    </w:p>
    <w:p>
      <w:pPr>
        <w:pStyle w:val="Heading2"/>
      </w:pPr>
      <w:r>
        <w:t>4.4 Data modelling</w:t>
      </w:r>
    </w:p>
    <w:p>
      <w:r>
        <w:t>Create one-to-many relationships: Suppliers[Supplier ID] → Contracts[Supplier ID]; Contracts[Contract ID] → Transactions[Contract ID]; Contracts[Contract ID] → Obligations[Contract ID]. Keep transactions and obligations as separate child tables to avoid row multiplication and inflated spend.</w:t>
      </w:r>
    </w:p>
    <w:p>
      <w:pPr>
        <w:pStyle w:val="Heading2"/>
      </w:pPr>
      <w:r>
        <w:t>4.5 DAX and KPI development</w:t>
      </w:r>
    </w:p>
    <w:p>
      <w:r>
        <w:t>Create measures for contract value, invoiced spend, invoice count, compliance rate, potential rate variance, active contracts, contracts expiring soon, total obligations, overdue obligations and completion rate.</w:t>
      </w:r>
    </w:p>
    <w:p>
      <w:pPr>
        <w:pStyle w:val="Heading2"/>
      </w:pPr>
      <w:r>
        <w:t>4.6 Dashboard design</w:t>
      </w:r>
    </w:p>
    <w:p>
      <w:r>
        <w:t>Build three report pages: Procurement Overview, Contract Compliance, and Contract &amp; Obligations Tracker. Use KPI cards, category and supplier charts, monthly spend trends, exception tables, expiry lists and status visuals.</w:t>
      </w:r>
    </w:p>
    <w:p>
      <w:pPr>
        <w:pStyle w:val="Heading2"/>
      </w:pPr>
      <w:r>
        <w:t>4.7 Validation</w:t>
      </w:r>
    </w:p>
    <w:p>
      <w:r>
        <w:t>Reconcile totals against Excel, manually calculate selected rate variances, test slicers, check relationship cardinality and inspect unmatched IDs. Validate that expiring contracts are included in active contracts rather than counted as a separate status.</w:t>
      </w:r>
    </w:p>
    <w:p>
      <w:pPr>
        <w:pStyle w:val="Heading2"/>
      </w:pPr>
      <w:r>
        <w:t>4.8 Reporting and action</w:t>
      </w:r>
    </w:p>
    <w:p>
      <w:r>
        <w:t>Summarize verified findings and recommend investigation of unexplained invoice differences, early renewal planning and supplier follow-up for overdue deliverables.</w:t>
      </w:r>
    </w:p>
    <w:p>
      <w:pPr>
        <w:pStyle w:val="Heading1"/>
      </w:pPr>
      <w:r>
        <w:t>5. KPI Definitions and Reconciliation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Definition</w:t>
            </w:r>
          </w:p>
        </w:tc>
        <w:tc>
          <w:tcPr>
            <w:tcW w:type="dxa" w:w="3360"/>
          </w:tcPr>
          <w:p>
            <w:r>
              <w:t>Reconciled result</w:t>
            </w:r>
          </w:p>
        </w:tc>
      </w:tr>
      <w:tr>
        <w:tc>
          <w:tcPr>
            <w:tcW w:type="dxa" w:w="3360"/>
          </w:tcPr>
          <w:p>
            <w:r>
              <w:t>Total Contract Value</w:t>
            </w:r>
          </w:p>
        </w:tc>
        <w:tc>
          <w:tcPr>
            <w:tcW w:type="dxa" w:w="3360"/>
          </w:tcPr>
          <w:p>
            <w:r>
              <w:t>Sum of Contract Value (INR) across contracts.</w:t>
            </w:r>
          </w:p>
        </w:tc>
        <w:tc>
          <w:tcPr>
            <w:tcW w:type="dxa" w:w="3360"/>
          </w:tcPr>
          <w:p>
            <w:r>
              <w:t>₹12,500,000</w:t>
            </w:r>
          </w:p>
        </w:tc>
      </w:tr>
      <w:tr>
        <w:tc>
          <w:tcPr>
            <w:tcW w:type="dxa" w:w="3360"/>
          </w:tcPr>
          <w:p>
            <w:r>
              <w:t>Total Invoiced Spend</w:t>
            </w:r>
          </w:p>
        </w:tc>
        <w:tc>
          <w:tcPr>
            <w:tcW w:type="dxa" w:w="3360"/>
          </w:tcPr>
          <w:p>
            <w:r>
              <w:t>Sum of Invoice Amount (INR) across transaction lines.</w:t>
            </w:r>
          </w:p>
        </w:tc>
        <w:tc>
          <w:tcPr>
            <w:tcW w:type="dxa" w:w="3360"/>
          </w:tcPr>
          <w:p>
            <w:r>
              <w:t>₹9,800,000</w:t>
            </w:r>
          </w:p>
        </w:tc>
      </w:tr>
      <w:tr>
        <w:tc>
          <w:tcPr>
            <w:tcW w:type="dxa" w:w="3360"/>
          </w:tcPr>
          <w:p>
            <w:r>
              <w:t>Compliance Rate</w:t>
            </w:r>
          </w:p>
        </w:tc>
        <w:tc>
          <w:tcPr>
            <w:tcW w:type="dxa" w:w="3360"/>
          </w:tcPr>
          <w:p>
            <w:r>
              <w:t>Compliant invoice lines ÷ total invoice lines.</w:t>
            </w:r>
          </w:p>
        </w:tc>
        <w:tc>
          <w:tcPr>
            <w:tcW w:type="dxa" w:w="3360"/>
          </w:tcPr>
          <w:p>
            <w:r>
              <w:t>118 ÷ 142 = 83.1%</w:t>
            </w:r>
          </w:p>
        </w:tc>
      </w:tr>
      <w:tr>
        <w:tc>
          <w:tcPr>
            <w:tcW w:type="dxa" w:w="3360"/>
          </w:tcPr>
          <w:p>
            <w:r>
              <w:t>Potential Rate Variance</w:t>
            </w:r>
          </w:p>
        </w:tc>
        <w:tc>
          <w:tcPr>
            <w:tcW w:type="dxa" w:w="3360"/>
          </w:tcPr>
          <w:p>
            <w:r>
              <w:t>Sum of (Invoiced Rate − Contract Rate) × Quantity.</w:t>
            </w:r>
          </w:p>
        </w:tc>
        <w:tc>
          <w:tcPr>
            <w:tcW w:type="dxa" w:w="3360"/>
          </w:tcPr>
          <w:p>
            <w:r>
              <w:t>₹42,000 positive variance</w:t>
            </w:r>
          </w:p>
        </w:tc>
      </w:tr>
      <w:tr>
        <w:tc>
          <w:tcPr>
            <w:tcW w:type="dxa" w:w="3360"/>
          </w:tcPr>
          <w:p>
            <w:r>
              <w:t>Active Contracts</w:t>
            </w:r>
          </w:p>
        </w:tc>
        <w:tc>
          <w:tcPr>
            <w:tcW w:type="dxa" w:w="3360"/>
          </w:tcPr>
          <w:p>
            <w:r>
              <w:t>Contracts with Active status; includes contracts expiring soon.</w:t>
            </w:r>
          </w:p>
        </w:tc>
        <w:tc>
          <w:tcPr>
            <w:tcW w:type="dxa" w:w="3360"/>
          </w:tcPr>
          <w:p>
            <w:r>
              <w:t>34</w:t>
            </w:r>
          </w:p>
        </w:tc>
      </w:tr>
      <w:tr>
        <w:tc>
          <w:tcPr>
            <w:tcW w:type="dxa" w:w="3360"/>
          </w:tcPr>
          <w:p>
            <w:r>
              <w:t>Expiring in 90 Days</w:t>
            </w:r>
          </w:p>
        </w:tc>
        <w:tc>
          <w:tcPr>
            <w:tcW w:type="dxa" w:w="3360"/>
          </w:tcPr>
          <w:p>
            <w:r>
              <w:t>Active contracts with end dates within the snapshot's next 90 days.</w:t>
            </w:r>
          </w:p>
        </w:tc>
        <w:tc>
          <w:tcPr>
            <w:tcW w:type="dxa" w:w="3360"/>
          </w:tcPr>
          <w:p>
            <w:r>
              <w:t>6</w:t>
            </w:r>
          </w:p>
        </w:tc>
      </w:tr>
      <w:tr>
        <w:tc>
          <w:tcPr>
            <w:tcW w:type="dxa" w:w="3360"/>
          </w:tcPr>
          <w:p>
            <w:r>
              <w:t>Obligation Completion Rate</w:t>
            </w:r>
          </w:p>
        </w:tc>
        <w:tc>
          <w:tcPr>
            <w:tcW w:type="dxa" w:w="3360"/>
          </w:tcPr>
          <w:p>
            <w:r>
              <w:t>Completed obligations ÷ total obligations.</w:t>
            </w:r>
          </w:p>
        </w:tc>
        <w:tc>
          <w:tcPr>
            <w:tcW w:type="dxa" w:w="3360"/>
          </w:tcPr>
          <w:p>
            <w:r>
              <w:t>56 ÷ 78 = 71.8%</w:t>
            </w:r>
          </w:p>
        </w:tc>
      </w:tr>
    </w:tbl>
    <w:p>
      <w:r>
        <w:t>Contract reconciliation: 34 active + 3 expired + 6 closed = 43 contracts. Six expiring contracts are a subset of active contracts.</w:t>
      </w:r>
    </w:p>
    <w:p>
      <w:r>
        <w:t>Obligation reconciliation: 56 completed + 8 in progress + 14 overdue = 78 obligations. Completion rate is 56/78 = 71.8%, displayed as 72% when rounded.</w:t>
      </w:r>
    </w:p>
    <w:p>
      <w:r>
        <w:t>Invoice reconciliation: 118 compliant + 24 flagged = 142 invoice lines. Compliance rate is 118/142 = 83.1%.</w:t>
      </w:r>
    </w:p>
    <w:p>
      <w:pPr>
        <w:pStyle w:val="Heading1"/>
      </w:pPr>
      <w:r>
        <w:t>6. Dashboard Pages</w:t>
      </w:r>
    </w:p>
    <w:p>
      <w:pPr>
        <w:pStyle w:val="Heading2"/>
      </w:pPr>
      <w:r>
        <w:t>Page 1 — Procurement Overview</w:t>
      </w:r>
    </w:p>
    <w:p>
      <w:r>
        <w:t>Provides total contract value, invoiced spend, active contract count, supplier count and contracts expiring within 90 days. Charts show spend by category, supplier spend, monthly procurement spend and contract status.</w:t>
      </w:r>
    </w:p>
    <w:p>
      <w:pPr>
        <w:pStyle w:val="Heading2"/>
      </w:pPr>
      <w:r>
        <w:t>Page 2 — Contract Compliance</w:t>
      </w:r>
    </w:p>
    <w:p>
      <w:r>
        <w:t>Shows invoice-line count, compliant and flagged counts, compliance rate and potential rate variance. Supplier-level charts and an invoice exception table allow users to inspect agreed versus invoiced rates.</w:t>
      </w:r>
    </w:p>
    <w:p>
      <w:pPr>
        <w:pStyle w:val="Heading2"/>
      </w:pPr>
      <w:r>
        <w:t>Page 3 — Contract &amp; Obligations Tracker</w:t>
      </w:r>
    </w:p>
    <w:p>
      <w:r>
        <w:t>Shows contract and obligation totals, expiring contract details, obligations by supplier and obligation status. Supplier, contract status and obligation status filters support targeted follow-up.</w:t>
      </w:r>
    </w:p>
    <w:p>
      <w:r>
        <w:t>The dashboard image is a design reference. The interactive report must be built and saved as a Power BI .pbix file; a screenshot alone is not an interactive report.</w:t>
      </w:r>
    </w:p>
    <w:p>
      <w:pPr>
        <w:pStyle w:val="Heading1"/>
      </w:pPr>
      <w:r>
        <w:t>7. Findings and Recommended Actions</w:t>
      </w:r>
    </w:p>
    <w:p>
      <w:pPr>
        <w:pStyle w:val="Heading2"/>
      </w:pPr>
      <w:r>
        <w:t>Invoice rate discrepancies</w:t>
      </w:r>
    </w:p>
    <w:p>
      <w:r>
        <w:t>Review the 24 flagged lines and validate against the relevant contract version, amendments, unit of measure, tax treatment and approved charges before determining whether corrective action is required.</w:t>
      </w:r>
    </w:p>
    <w:p>
      <w:pPr>
        <w:pStyle w:val="Heading2"/>
      </w:pPr>
      <w:r>
        <w:t>Contract renewal planning</w:t>
      </w:r>
    </w:p>
    <w:p>
      <w:r>
        <w:t>Prioritize the six active contracts ending within 90 days. Assign a contract owner and begin renewal or exit planning early.</w:t>
      </w:r>
    </w:p>
    <w:p>
      <w:pPr>
        <w:pStyle w:val="Heading2"/>
      </w:pPr>
      <w:r>
        <w:t>Overdue obligations</w:t>
      </w:r>
    </w:p>
    <w:p>
      <w:r>
        <w:t>Review the 14 overdue obligations, confirm the contractual due dates and completion evidence, and record the supplier follow-up owner and target date.</w:t>
      </w:r>
    </w:p>
    <w:p>
      <w:pPr>
        <w:pStyle w:val="Heading2"/>
      </w:pPr>
      <w:r>
        <w:t>Supplier-level monitoring</w:t>
      </w:r>
    </w:p>
    <w:p>
      <w:r>
        <w:t>Use recurring exception patterns as a trigger for a documented supplier or contract-owner review rather than automatically treating the pattern as a breach.</w:t>
      </w:r>
    </w:p>
    <w:p>
      <w:pPr>
        <w:pStyle w:val="Heading1"/>
      </w:pPr>
      <w:r>
        <w:t>8. Limitations and Controls</w:t>
      </w:r>
    </w:p>
    <w:p>
      <w:pPr>
        <w:pStyle w:val="ListBullet"/>
      </w:pPr>
      <w:r>
        <w:t>All records and results are synthetic and must not be represented as actual client or employer data.</w:t>
      </w:r>
    </w:p>
    <w:p>
      <w:pPr>
        <w:pStyle w:val="ListBullet"/>
      </w:pPr>
      <w:r>
        <w:t>Compliance flags are pre-labelled for this learning exercise. A production system should derive them from contract terms, amendments, tolerances and approved exceptions.</w:t>
      </w:r>
    </w:p>
    <w:p>
      <w:pPr>
        <w:pStyle w:val="ListBullet"/>
      </w:pPr>
      <w:r>
        <w:t>A rate variance is not automatically overbilling; further review is required.</w:t>
      </w:r>
    </w:p>
    <w:p>
      <w:pPr>
        <w:pStyle w:val="ListBullet"/>
      </w:pPr>
      <w:r>
        <w:t>The project does not implement full three-way matching across purchase order, receipt/service confirmation and invoice.</w:t>
      </w:r>
    </w:p>
    <w:p>
      <w:pPr>
        <w:pStyle w:val="ListBullet"/>
      </w:pPr>
      <w:r>
        <w:t>A fixed snapshot date makes the example reproducible. A production report should use a refreshable reporting date and suitable calendar logic.</w:t>
      </w:r>
    </w:p>
    <w:p>
      <w:pPr>
        <w:pStyle w:val="ListBullet"/>
      </w:pPr>
      <w:r>
        <w:t>No realized savings or compliance improvement is claimed.</w:t>
      </w:r>
    </w:p>
    <w:p>
      <w:pPr>
        <w:pStyle w:val="Heading1"/>
      </w:pPr>
      <w:r>
        <w:t>9. Suggested Resume Entry</w:t>
      </w:r>
    </w:p>
    <w:p>
      <w:r>
        <w:rPr>
          <w:b/>
        </w:rPr>
        <w:t>ProcureGuard — Procurement Contract Compliance &amp; Supplier Analytics | Excel, Power Query, Power BI, DAX</w:t>
      </w:r>
    </w:p>
    <w:p>
      <w:pPr>
        <w:pStyle w:val="ListBullet"/>
      </w:pPr>
      <w:r>
        <w:t>Built an interactive Power BI reporting solution using synthetic supplier, contract, invoice and obligation datasets to monitor spend, invoice rate variances, contract expirations and overdue deliverables.</w:t>
      </w:r>
    </w:p>
    <w:p>
      <w:pPr>
        <w:pStyle w:val="ListBullet"/>
      </w:pPr>
      <w:r>
        <w:t>Cleaned and transformed data in Power Query, modelled related procurement tables, and developed DAX KPIs for invoice compliance, potential rate variance and contractual obligation completion.</w:t>
      </w:r>
    </w:p>
    <w:p>
      <w:pPr>
        <w:pStyle w:val="ListBullet"/>
      </w:pPr>
      <w:r>
        <w:t>Designed overview, compliance and contract-tracking report pages with supplier-level analysis and exception tables; reconciled headline metrics against source data and documented business recommendations.</w:t>
      </w:r>
    </w:p>
    <w:p>
      <w:pPr>
        <w:pStyle w:val="Heading1"/>
      </w:pPr>
      <w:r>
        <w:t>10. Interview Talking Points</w:t>
      </w:r>
    </w:p>
    <w:p>
      <w:pPr>
        <w:pStyle w:val="ListBullet"/>
      </w:pPr>
      <w:r>
        <w:t>Explain why contract, transaction and obligation data should remain at separate grains.</w:t>
      </w:r>
    </w:p>
    <w:p>
      <w:pPr>
        <w:pStyle w:val="ListBullet"/>
      </w:pPr>
      <w:r>
        <w:t>Explain the difference between contract-rate compliance and three-way matching.</w:t>
      </w:r>
    </w:p>
    <w:p>
      <w:pPr>
        <w:pStyle w:val="ListBullet"/>
      </w:pPr>
      <w:r>
        <w:t>Demonstrate a rate variance calculation and why it needs validation.</w:t>
      </w:r>
    </w:p>
    <w:p>
      <w:pPr>
        <w:pStyle w:val="ListBullet"/>
      </w:pPr>
      <w:r>
        <w:t>Explain how the KPI totals were reconciled against the source workbook.</w:t>
      </w:r>
    </w:p>
    <w:p>
      <w:pPr>
        <w:pStyle w:val="ListBullet"/>
      </w:pPr>
      <w:r>
        <w:t>Describe how the dashboard supports contract renewal planning and supplier follow-up.</w:t>
      </w:r>
    </w:p>
    <w:p>
      <w:pPr>
        <w:pStyle w:val="Heading1"/>
      </w:pPr>
      <w:r>
        <w:t>Appendix — Example DAX Measures</w:t>
      </w:r>
    </w:p>
    <w:p>
      <w:pPr>
        <w:ind w:left="360"/>
      </w:pPr>
      <w:r>
        <w:rPr>
          <w:rFonts w:ascii="Consolas" w:hAnsi="Consolas"/>
          <w:sz w:val="16"/>
        </w:rPr>
        <w:t>Total Contract Value =</w:t>
        <w:br/>
        <w:t>SUM(Contracts[Contract Value (INR)])</w:t>
      </w:r>
    </w:p>
    <w:p>
      <w:pPr>
        <w:ind w:left="360"/>
      </w:pPr>
      <w:r>
        <w:rPr>
          <w:rFonts w:ascii="Consolas" w:hAnsi="Consolas"/>
          <w:sz w:val="16"/>
        </w:rPr>
        <w:t>Total Invoiced Spend =</w:t>
        <w:br/>
        <w:t>SUM(Transactions[Invoice Amount (INR)])</w:t>
      </w:r>
    </w:p>
    <w:p>
      <w:pPr>
        <w:ind w:left="360"/>
      </w:pPr>
      <w:r>
        <w:rPr>
          <w:rFonts w:ascii="Consolas" w:hAnsi="Consolas"/>
          <w:sz w:val="16"/>
        </w:rPr>
        <w:t>Compliance Rate =</w:t>
        <w:br/>
        <w:t>DIVIDE(</w:t>
        <w:br/>
        <w:t xml:space="preserve">    CALCULATE(</w:t>
        <w:br/>
        <w:t xml:space="preserve">        COUNTROWS(Transactions),</w:t>
        <w:br/>
        <w:t xml:space="preserve">        Transactions[Compliance Status] = "Compliant"</w:t>
        <w:br/>
        <w:t xml:space="preserve">    ),</w:t>
        <w:br/>
        <w:t xml:space="preserve">    COUNTROWS(Transactions),</w:t>
        <w:br/>
        <w:t xml:space="preserve">    0</w:t>
        <w:br/>
        <w:t>)</w:t>
      </w:r>
    </w:p>
    <w:p>
      <w:pPr>
        <w:ind w:left="360"/>
      </w:pPr>
      <w:r>
        <w:rPr>
          <w:rFonts w:ascii="Consolas" w:hAnsi="Consolas"/>
          <w:sz w:val="16"/>
        </w:rPr>
        <w:t>Potential Rate Variance =</w:t>
        <w:br/>
        <w:t>SUM(Transactions[Rate Variance (INR)])</w:t>
      </w:r>
    </w:p>
    <w:p>
      <w:pPr>
        <w:ind w:left="360"/>
      </w:pPr>
      <w:r>
        <w:rPr>
          <w:rFonts w:ascii="Consolas" w:hAnsi="Consolas"/>
          <w:sz w:val="16"/>
        </w:rPr>
        <w:t>Obligation Completion Rate =</w:t>
        <w:br/>
        <w:t>DIVIDE(</w:t>
        <w:br/>
        <w:t xml:space="preserve">    CALCULATE(</w:t>
        <w:br/>
        <w:t xml:space="preserve">        COUNTROWS(Obligations),</w:t>
        <w:br/>
        <w:t xml:space="preserve">        Obligations[Obligation Status] = "Completed"</w:t>
        <w:br/>
        <w:t xml:space="preserve">    ),</w:t>
        <w:br/>
        <w:t xml:space="preserve">    COUNTROWS(Obligations),</w:t>
        <w:br/>
        <w:t xml:space="preserve">    0</w:t>
        <w:br/>
        <w: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A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4A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