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4C78"/>
          <w:sz w:val="20"/>
        </w:rPr>
        <w:t>TEAM PRESENTATION • STUDY GUIDE</w:t>
      </w:r>
    </w:p>
    <w:p>
      <w:pPr>
        <w:pStyle w:val="Title"/>
      </w:pPr>
      <w:r>
        <w:t>Ashish Umrao (4315)</w:t>
      </w:r>
    </w:p>
    <w:p>
      <w:pPr>
        <w:pStyle w:val="Subtitle"/>
      </w:pPr>
      <w:r>
        <w:t>Evaluation, optimization and result analysis</w:t>
      </w:r>
    </w:p>
    <w:p>
      <w:r>
        <w:t>Music Recommendation System using KNN, K-Means and Hierarchical Clustering</w:t>
      </w:r>
    </w:p>
    <w:p>
      <w:r/>
      <w:r>
        <w:rPr>
          <w:b/>
        </w:rPr>
        <w:t>Checked by: Prof. Vaishali Ingle</w:t>
      </w:r>
      <w:r/>
    </w:p>
    <w:p>
      <w:pPr>
        <w:pStyle w:val="Heading2"/>
      </w:pPr>
      <w:r>
        <w:t>Current experiment at a glance</w:t>
      </w:r>
    </w:p>
    <w:tbl>
      <w:tblPr>
        <w:tblStyle w:val="TableGrid"/>
        <w:tblW w:type="auto" w:w="0"/>
        <w:tblLayout w:type="fixed"/>
        <w:tblLook w:firstColumn="1" w:firstRow="1" w:lastColumn="0" w:lastRow="0" w:noHBand="0" w:noVBand="1" w:val="04A0"/>
      </w:tblPr>
      <w:tblGrid>
        <w:gridCol w:w="4874"/>
        <w:gridCol w:w="4874"/>
      </w:tblGrid>
      <w:tr>
        <w:trPr>
          <w:tblHeader/>
          <w:cantSplit/>
        </w:trPr>
        <w:tc>
          <w:tcPr>
            <w:tcW w:type="dxa" w:w="4824"/>
            <w:shd w:fill="244C78"/>
          </w:tcPr>
          <w:p>
            <w:pPr>
              <w:spacing w:after="100" w:before="80"/>
            </w:pPr>
            <w:r>
              <w:rPr>
                <w:b/>
                <w:color w:val="FFFFFF"/>
                <w:sz w:val="19"/>
              </w:rPr>
              <w:t>Item</w:t>
            </w:r>
          </w:p>
        </w:tc>
        <w:tc>
          <w:tcPr>
            <w:tcW w:type="dxa" w:w="4824"/>
            <w:shd w:fill="244C78"/>
          </w:tcPr>
          <w:p>
            <w:pPr>
              <w:spacing w:after="100" w:before="80"/>
            </w:pPr>
            <w:r>
              <w:rPr>
                <w:b/>
                <w:color w:val="FFFFFF"/>
                <w:sz w:val="19"/>
              </w:rPr>
              <w:t>Current notebook</w:t>
            </w:r>
          </w:p>
        </w:tc>
      </w:tr>
      <w:tr>
        <w:trPr>
          <w:cantSplit/>
        </w:trPr>
        <w:tc>
          <w:tcPr>
            <w:tcW w:type="dxa" w:w="4824"/>
            <w:shd w:fill="F5F8FC"/>
          </w:tcPr>
          <w:p>
            <w:pPr>
              <w:spacing w:after="100" w:before="80"/>
            </w:pPr>
            <w:r>
              <w:rPr>
                <w:sz w:val="19"/>
              </w:rPr>
              <w:t>Catalogue</w:t>
            </w:r>
          </w:p>
        </w:tc>
        <w:tc>
          <w:tcPr>
            <w:tcW w:type="dxa" w:w="4824"/>
            <w:shd w:fill="F5F8FC"/>
          </w:tcPr>
          <w:p>
            <w:pPr>
              <w:spacing w:after="100" w:before="80"/>
            </w:pPr>
            <w:r>
              <w:rPr>
                <w:sz w:val="19"/>
              </w:rPr>
              <w:t>Seven selected genres; 4,925 cleaned songs</w:t>
            </w:r>
          </w:p>
        </w:tc>
      </w:tr>
      <w:tr>
        <w:trPr>
          <w:cantSplit/>
        </w:trPr>
        <w:tc>
          <w:tcPr>
            <w:tcW w:type="dxa" w:w="4824"/>
          </w:tcPr>
          <w:p>
            <w:pPr>
              <w:spacing w:after="100" w:before="80"/>
            </w:pPr>
            <w:r>
              <w:rPr>
                <w:sz w:val="19"/>
              </w:rPr>
              <w:t>Split</w:t>
            </w:r>
          </w:p>
        </w:tc>
        <w:tc>
          <w:tcPr>
            <w:tcW w:type="dxa" w:w="4824"/>
          </w:tcPr>
          <w:p>
            <w:pPr>
              <w:spacing w:after="100" w:before="80"/>
            </w:pPr>
            <w:r>
              <w:rPr>
                <w:sz w:val="19"/>
              </w:rPr>
              <w:t>3,940 training songs and 985 test songs</w:t>
            </w:r>
          </w:p>
        </w:tc>
      </w:tr>
      <w:tr>
        <w:trPr>
          <w:cantSplit/>
        </w:trPr>
        <w:tc>
          <w:tcPr>
            <w:tcW w:type="dxa" w:w="4824"/>
            <w:shd w:fill="F5F8FC"/>
          </w:tcPr>
          <w:p>
            <w:pPr>
              <w:spacing w:after="100" w:before="80"/>
            </w:pPr>
            <w:r>
              <w:rPr>
                <w:sz w:val="19"/>
              </w:rPr>
              <w:t>Recommendation inputs</w:t>
            </w:r>
          </w:p>
        </w:tc>
        <w:tc>
          <w:tcPr>
            <w:tcW w:type="dxa" w:w="4824"/>
            <w:shd w:fill="F5F8FC"/>
          </w:tcPr>
          <w:p>
            <w:pPr>
              <w:spacing w:after="100" w:before="80"/>
            </w:pPr>
            <w:r>
              <w:rPr>
                <w:sz w:val="19"/>
              </w:rPr>
              <w:t>12 scaled numerical features + 7 one-hot genre columns</w:t>
            </w:r>
          </w:p>
        </w:tc>
      </w:tr>
      <w:tr>
        <w:trPr>
          <w:cantSplit/>
        </w:trPr>
        <w:tc>
          <w:tcPr>
            <w:tcW w:type="dxa" w:w="4824"/>
          </w:tcPr>
          <w:p>
            <w:pPr>
              <w:spacing w:after="100" w:before="80"/>
            </w:pPr>
            <w:r>
              <w:rPr>
                <w:sz w:val="19"/>
              </w:rPr>
              <w:t>Classification inputs</w:t>
            </w:r>
          </w:p>
        </w:tc>
        <w:tc>
          <w:tcPr>
            <w:tcW w:type="dxa" w:w="4824"/>
          </w:tcPr>
          <w:p>
            <w:pPr>
              <w:spacing w:after="100" w:before="80"/>
            </w:pPr>
            <w:r>
              <w:rPr>
                <w:sz w:val="19"/>
              </w:rPr>
              <w:t>12 numerical features only; genre is the target</w:t>
            </w:r>
          </w:p>
        </w:tc>
      </w:tr>
      <w:tr>
        <w:trPr>
          <w:cantSplit/>
        </w:trPr>
        <w:tc>
          <w:tcPr>
            <w:tcW w:type="dxa" w:w="4824"/>
            <w:shd w:fill="F5F8FC"/>
          </w:tcPr>
          <w:p>
            <w:pPr>
              <w:spacing w:after="100" w:before="80"/>
            </w:pPr>
            <w:r>
              <w:rPr>
                <w:sz w:val="19"/>
              </w:rPr>
              <w:t>Distance</w:t>
            </w:r>
          </w:p>
        </w:tc>
        <w:tc>
          <w:tcPr>
            <w:tcW w:type="dxa" w:w="4824"/>
            <w:shd w:fill="F5F8FC"/>
          </w:tcPr>
          <w:p>
            <w:pPr>
              <w:spacing w:after="100" w:before="80"/>
            </w:pPr>
            <w:r>
              <w:rPr>
                <w:sz w:val="19"/>
              </w:rPr>
              <w:t>Euclidean throughout</w:t>
            </w:r>
          </w:p>
        </w:tc>
      </w:tr>
      <w:tr>
        <w:trPr>
          <w:cantSplit/>
        </w:trPr>
        <w:tc>
          <w:tcPr>
            <w:tcW w:type="dxa" w:w="4824"/>
          </w:tcPr>
          <w:p>
            <w:pPr>
              <w:spacing w:after="100" w:before="80"/>
            </w:pPr>
            <w:r>
              <w:rPr>
                <w:sz w:val="19"/>
              </w:rPr>
              <w:t>Cluster count</w:t>
            </w:r>
          </w:p>
        </w:tc>
        <w:tc>
          <w:tcPr>
            <w:tcW w:type="dxa" w:w="4824"/>
          </w:tcPr>
          <w:p>
            <w:pPr>
              <w:spacing w:after="100" w:before="80"/>
            </w:pPr>
            <w:r>
              <w:rPr>
                <w:sz w:val="19"/>
              </w:rPr>
              <w:t>Notebook: 7 manually; None enables elbow detection</w:t>
            </w:r>
          </w:p>
        </w:tc>
      </w:tr>
    </w:tbl>
    <w:p>
      <w:pPr>
        <w:spacing w:after="20"/>
      </w:pPr>
    </w:p>
    <w:p>
      <w:pPr>
        <w:pStyle w:val="Heading2"/>
      </w:pPr>
      <w:r>
        <w:t>How to use this guide</w:t>
      </w:r>
    </w:p>
    <w:p>
      <w:r>
        <w:t>Read the explanations first, then trace the matching notebook headings. Rehearse the speaking route, practise the code examples and use the questions at the end for preparation. Check actual run settings before quoting results.</w:t>
      </w:r>
    </w:p>
    <w:p>
      <w:r>
        <w:t>Prepared from Music_Recommendation_KNN.ipynb and the shared project core. Code examples are excerpts or clearly identified simplified equivalents. Streamlit-only styling, playback and settings are not additional machine-learning algorithms.</w:t>
      </w:r>
    </w:p>
    <w:p>
      <w:r>
        <w:br w:type="page"/>
      </w:r>
    </w:p>
    <w:p>
      <w:r>
        <w:t>Presentation role: Performance Evaluation, Model Optimization, Result Analysis and Limitations. Team order: Aryan prepares the dataset, Abhijeet explains model development, and you explain whether the results support the project's claims. Checked by: Prof. Vaishali Ingle.</w:t>
      </w:r>
    </w:p>
    <w:p>
      <w:r>
        <w:t>This guide uses the currently saved seven-genre notebook outputs. Numbers are measured examples from that run, not promises for every future run. Timings depend on workload and hardware. Personalize contribution statements to match work you actually completed.</w:t>
      </w:r>
    </w:p>
    <w:p>
      <w:pPr>
        <w:pStyle w:val="Heading1"/>
      </w:pPr>
      <w:r>
        <w:t>1. Your contribution in one minute</w:t>
      </w:r>
    </w:p>
    <w:p>
      <w:r>
        <w:t>Suggested explanation: “My responsibility is evaluating and optimizing the project. I compare KNN, K-Means and hierarchical recommendation methods using the same training candidates and test queries. I explain Precision@10, returned-result coverage and runtime, and I evaluate the separate audio-only genre classifier with accuracy, precision, recall, F1 and confusion matrices. I also explain cross-validation, the 90-fit grid search, elbow detection and what our results do and do not prove.”</w:t>
      </w:r>
    </w:p>
    <w:p>
      <w:r>
        <w:t>Your strongest presentation skill should be matching each number to the task it actually measures. A high number is useful only when its meaning is clear.</w:t>
      </w:r>
    </w:p>
    <w:p>
      <w:pPr>
        <w:pStyle w:val="Heading1"/>
      </w:pPr>
      <w:r>
        <w:t>2. Start by separating two experiments</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Experiment</w:t>
            </w:r>
          </w:p>
        </w:tc>
        <w:tc>
          <w:tcPr>
            <w:tcW w:type="dxa" w:w="3216"/>
            <w:shd w:fill="244C78"/>
          </w:tcPr>
          <w:p>
            <w:pPr>
              <w:spacing w:after="100" w:before="80"/>
            </w:pPr>
            <w:r>
              <w:rPr>
                <w:b/>
                <w:color w:val="FFFFFF"/>
                <w:sz w:val="19"/>
              </w:rPr>
              <w:t>Input</w:t>
            </w:r>
          </w:p>
        </w:tc>
        <w:tc>
          <w:tcPr>
            <w:tcW w:type="dxa" w:w="3216"/>
            <w:shd w:fill="244C78"/>
          </w:tcPr>
          <w:p>
            <w:pPr>
              <w:spacing w:after="100" w:before="80"/>
            </w:pPr>
            <w:r>
              <w:rPr>
                <w:b/>
                <w:color w:val="FFFFFF"/>
                <w:sz w:val="19"/>
              </w:rPr>
              <w:t>What is evaluated</w:t>
            </w:r>
          </w:p>
        </w:tc>
      </w:tr>
      <w:tr>
        <w:trPr>
          <w:cantSplit/>
        </w:trPr>
        <w:tc>
          <w:tcPr>
            <w:tcW w:type="dxa" w:w="3216"/>
            <w:shd w:fill="F5F8FC"/>
          </w:tcPr>
          <w:p>
            <w:pPr>
              <w:spacing w:after="100" w:before="80"/>
            </w:pPr>
            <w:r>
              <w:rPr>
                <w:sz w:val="19"/>
              </w:rPr>
              <w:t>Song recommendation</w:t>
            </w:r>
          </w:p>
        </w:tc>
        <w:tc>
          <w:tcPr>
            <w:tcW w:type="dxa" w:w="3216"/>
            <w:shd w:fill="F5F8FC"/>
          </w:tcPr>
          <w:p>
            <w:pPr>
              <w:spacing w:after="100" w:before="80"/>
            </w:pPr>
            <w:r>
              <w:rPr>
                <w:sz w:val="19"/>
              </w:rPr>
              <w:t>12 scaled numerical features plus 7 one-hot genre indicators</w:t>
            </w:r>
          </w:p>
        </w:tc>
        <w:tc>
          <w:tcPr>
            <w:tcW w:type="dxa" w:w="3216"/>
            <w:shd w:fill="F5F8FC"/>
          </w:tcPr>
          <w:p>
            <w:pPr>
              <w:spacing w:after="100" w:before="80"/>
            </w:pPr>
            <w:r>
              <w:rPr>
                <w:sz w:val="19"/>
              </w:rPr>
              <w:t>Genre consistency, result count and retrieval time</w:t>
            </w:r>
          </w:p>
        </w:tc>
      </w:tr>
      <w:tr>
        <w:trPr>
          <w:cantSplit/>
        </w:trPr>
        <w:tc>
          <w:tcPr>
            <w:tcW w:type="dxa" w:w="3216"/>
          </w:tcPr>
          <w:p>
            <w:pPr>
              <w:spacing w:after="100" w:before="80"/>
            </w:pPr>
            <w:r>
              <w:rPr>
                <w:sz w:val="19"/>
              </w:rPr>
              <w:t>Genre classification</w:t>
            </w:r>
          </w:p>
        </w:tc>
        <w:tc>
          <w:tcPr>
            <w:tcW w:type="dxa" w:w="3216"/>
          </w:tcPr>
          <w:p>
            <w:pPr>
              <w:spacing w:after="100" w:before="80"/>
            </w:pPr>
            <w:r>
              <w:rPr>
                <w:sz w:val="19"/>
              </w:rPr>
              <w:t>Only 12 scaled numerical features</w:t>
            </w:r>
          </w:p>
        </w:tc>
        <w:tc>
          <w:tcPr>
            <w:tcW w:type="dxa" w:w="3216"/>
          </w:tcPr>
          <w:p>
            <w:pPr>
              <w:spacing w:after="100" w:before="80"/>
            </w:pPr>
            <w:r>
              <w:rPr>
                <w:sz w:val="19"/>
              </w:rPr>
              <w:t>Ability to predict genre from audio/metadata measurements</w:t>
            </w:r>
          </w:p>
        </w:tc>
      </w:tr>
    </w:tbl>
    <w:p>
      <w:pPr>
        <w:spacing w:after="20"/>
      </w:pPr>
    </w:p>
    <w:p>
      <w:r>
        <w:t>The recommendation methods receive the query song's known genre. The classifier must predict genre and therefore does not receive it. Cluster IDs are arbitrary group labels, not predicted music genres.</w:t>
      </w:r>
    </w:p>
    <w:p>
      <w:r>
        <w:t>Do not put K-Means cluster numbers into a genre-classification confusion matrix and interpret them as genre predictions. Our project compares these methods through recommendations instead.</w:t>
      </w:r>
    </w:p>
    <w:p>
      <w:pPr>
        <w:pStyle w:val="Heading1"/>
      </w:pPr>
      <w:r>
        <w:t>3. What makes the comparison fair?</w:t>
      </w:r>
    </w:p>
    <w:p>
      <w:r>
        <w:t>The default cleaned catalogue contains 4,925 songs. The split contains 3,940 training songs and 985 test songs. Every method uses the same features, audio scaling, candidate rows, query rows, Euclidean distance and requested recommendation count.</w:t>
      </w:r>
    </w:p>
    <w:p>
      <w:r>
        <w:t>The shared helper caps comparisons at 5,000 training candidates and 1,000 test queries when using larger catalogues. The default experiment is smaller, so it uses all its training/test rows. Sampling is reproducible and stratified where possible.</w:t>
      </w:r>
    </w:p>
    <w:p>
      <w:r>
        <w:t>Training songs form the evaluation catalogue. Test songs serve as queries. The test query itself is not a training candidate, so it cannot simply retrieve its own row and inflate the result. Interactive recommendations use the full cleaned catalogue and explicitly remove the input row; that is a different context.</w:t>
      </w:r>
    </w:p>
    <w:p>
      <w:r>
        <w:t>Genre indicators and numerical scaling are prepared consistently for all methods. The fitted audio scaler uses training data only. Known categorical names define the genre schema; test audio does not determine training minima or maxima.</w:t>
      </w:r>
    </w:p>
    <w:p>
      <w:pPr>
        <w:pStyle w:val="Heading1"/>
      </w:pPr>
      <w:r>
        <w:t>4. Precision@10: recommendation genre consistency</w:t>
      </w:r>
    </w:p>
    <w:p>
      <w:r>
        <w:t>For one query: Precision@10 = same-genre matches among returned suggestions / 10.</w:t>
      </w:r>
    </w:p>
    <w:p>
      <w:r>
        <w:t>For many queries: calculate the fraction for every test song and take the average.</w:t>
      </w:r>
    </w:p>
    <w:p>
      <w:r>
        <w:t>Illustrative example: a jazz query returns ten songs, of which seven are jazz. Its score is 7/10 = 0.70. If another query scores 0.90, their two-query mean is 0.80.</w:t>
      </w:r>
    </w:p>
    <w:p>
      <w:pPr>
        <w:pStyle w:val="CodeBlock"/>
        <w:shd w:fill="F0F3F7"/>
      </w:pPr>
      <w:r>
        <w:t># Simplified scoring logic used after retrieving neighbours.</w:t>
        <w:br/>
        <w:t>hits = (train_genres[indices] == test_genres[:, None]).sum(axis=1)</w:t>
        <w:br/>
        <w:t>precision_at_10 = (hits / 10).mean()</w:t>
      </w:r>
    </w:p>
    <w:p>
      <w:r>
        <w:t>train_genres[indices] looks up candidate labels. test_genres[:, None] turns a one-dimensional list into one label per query row so the comparison broadcasts across neighbours. sum(axis=1) counts matches separately for each query. mean averages the query scores.</w:t>
      </w:r>
    </w:p>
    <w:p>
      <w:r>
        <w:t>For variable-sized cluster results, the helper performs the same count per returned list. If only six songs are returned and all six match, Precision@10 is 6/10, not 6/6. Missing requested slots count as misses.</w:t>
      </w:r>
    </w:p>
    <w:p>
      <w:pPr>
        <w:pStyle w:val="Heading2"/>
      </w:pPr>
      <w:r>
        <w:t>The essential limitation after adding genre input</w:t>
      </w:r>
    </w:p>
    <w:p>
      <w:r>
        <w:t>Genre is already a recommendation feature. Therefore same-genre Precision@10 is a consistency diagnostic, not an independent test of musical quality. The model is being asked to use genre and is then checked for matching genre, so scores near 100% are expected.</w:t>
      </w:r>
    </w:p>
    <w:p>
      <w:r>
        <w:t>Say: “The recommendations follow the genre input consistently.” Do not say: “Users will like 100% of the recommendations” or “the recommender is 100% accurate.” We have no listener-rating or preference labels supporting those claims.</w:t>
      </w:r>
    </w:p>
    <w:p>
      <w:r>
        <w:t>This differs from the separate genre classifier, which does not see genre as an input. Its accuracy is a prediction score on an unknown target.</w:t>
      </w:r>
    </w:p>
    <w:p>
      <w:pPr>
        <w:pStyle w:val="Heading1"/>
      </w:pPr>
      <w:r>
        <w:t>5. Coverage@10: how many requested slots were filled?</w:t>
      </w:r>
    </w:p>
    <w:p>
      <w:r>
        <w:t>Coverage@10 in this project means returned songs / 10, averaged across queries. It does not mean the percentage of the entire catalogue the recommender ever uses.</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Example</w:t>
            </w:r>
          </w:p>
        </w:tc>
        <w:tc>
          <w:tcPr>
            <w:tcW w:type="dxa" w:w="3216"/>
            <w:shd w:fill="244C78"/>
          </w:tcPr>
          <w:p>
            <w:pPr>
              <w:spacing w:after="100" w:before="80"/>
            </w:pPr>
            <w:r>
              <w:rPr>
                <w:b/>
                <w:color w:val="FFFFFF"/>
                <w:sz w:val="19"/>
              </w:rPr>
              <w:t>Precision@10</w:t>
            </w:r>
          </w:p>
        </w:tc>
        <w:tc>
          <w:tcPr>
            <w:tcW w:type="dxa" w:w="3216"/>
            <w:shd w:fill="244C78"/>
          </w:tcPr>
          <w:p>
            <w:pPr>
              <w:spacing w:after="100" w:before="80"/>
            </w:pPr>
            <w:r>
              <w:rPr>
                <w:b/>
                <w:color w:val="FFFFFF"/>
                <w:sz w:val="19"/>
              </w:rPr>
              <w:t>Coverage@10</w:t>
            </w:r>
          </w:p>
        </w:tc>
      </w:tr>
      <w:tr>
        <w:trPr>
          <w:cantSplit/>
        </w:trPr>
        <w:tc>
          <w:tcPr>
            <w:tcW w:type="dxa" w:w="3216"/>
            <w:shd w:fill="F5F8FC"/>
          </w:tcPr>
          <w:p>
            <w:pPr>
              <w:spacing w:after="100" w:before="80"/>
            </w:pPr>
            <w:r>
              <w:rPr>
                <w:sz w:val="19"/>
              </w:rPr>
              <w:t>Ten results, seven share the genre</w:t>
            </w:r>
          </w:p>
        </w:tc>
        <w:tc>
          <w:tcPr>
            <w:tcW w:type="dxa" w:w="3216"/>
            <w:shd w:fill="F5F8FC"/>
          </w:tcPr>
          <w:p>
            <w:pPr>
              <w:spacing w:after="100" w:before="80"/>
            </w:pPr>
            <w:r>
              <w:rPr>
                <w:sz w:val="19"/>
              </w:rPr>
              <w:t>0.70</w:t>
            </w:r>
          </w:p>
        </w:tc>
        <w:tc>
          <w:tcPr>
            <w:tcW w:type="dxa" w:w="3216"/>
            <w:shd w:fill="F5F8FC"/>
          </w:tcPr>
          <w:p>
            <w:pPr>
              <w:spacing w:after="100" w:before="80"/>
            </w:pPr>
            <w:r>
              <w:rPr>
                <w:sz w:val="19"/>
              </w:rPr>
              <w:t>1.00</w:t>
            </w:r>
          </w:p>
        </w:tc>
      </w:tr>
      <w:tr>
        <w:trPr>
          <w:cantSplit/>
        </w:trPr>
        <w:tc>
          <w:tcPr>
            <w:tcW w:type="dxa" w:w="3216"/>
          </w:tcPr>
          <w:p>
            <w:pPr>
              <w:spacing w:after="100" w:before="80"/>
            </w:pPr>
            <w:r>
              <w:rPr>
                <w:sz w:val="19"/>
              </w:rPr>
              <w:t>Six results, all share the genre</w:t>
            </w:r>
          </w:p>
        </w:tc>
        <w:tc>
          <w:tcPr>
            <w:tcW w:type="dxa" w:w="3216"/>
          </w:tcPr>
          <w:p>
            <w:pPr>
              <w:spacing w:after="100" w:before="80"/>
            </w:pPr>
            <w:r>
              <w:rPr>
                <w:sz w:val="19"/>
              </w:rPr>
              <w:t>0.60</w:t>
            </w:r>
          </w:p>
        </w:tc>
        <w:tc>
          <w:tcPr>
            <w:tcW w:type="dxa" w:w="3216"/>
          </w:tcPr>
          <w:p>
            <w:pPr>
              <w:spacing w:after="100" w:before="80"/>
            </w:pPr>
            <w:r>
              <w:rPr>
                <w:sz w:val="19"/>
              </w:rPr>
              <w:t>0.60</w:t>
            </w:r>
          </w:p>
        </w:tc>
      </w:tr>
      <w:tr>
        <w:trPr>
          <w:cantSplit/>
        </w:trPr>
        <w:tc>
          <w:tcPr>
            <w:tcW w:type="dxa" w:w="3216"/>
            <w:shd w:fill="F5F8FC"/>
          </w:tcPr>
          <w:p>
            <w:pPr>
              <w:spacing w:after="100" w:before="80"/>
            </w:pPr>
            <w:r>
              <w:rPr>
                <w:sz w:val="19"/>
              </w:rPr>
              <w:t>Ten results, all share the genre</w:t>
            </w:r>
          </w:p>
        </w:tc>
        <w:tc>
          <w:tcPr>
            <w:tcW w:type="dxa" w:w="3216"/>
            <w:shd w:fill="F5F8FC"/>
          </w:tcPr>
          <w:p>
            <w:pPr>
              <w:spacing w:after="100" w:before="80"/>
            </w:pPr>
            <w:r>
              <w:rPr>
                <w:sz w:val="19"/>
              </w:rPr>
              <w:t>1.00</w:t>
            </w:r>
          </w:p>
        </w:tc>
        <w:tc>
          <w:tcPr>
            <w:tcW w:type="dxa" w:w="3216"/>
            <w:shd w:fill="F5F8FC"/>
          </w:tcPr>
          <w:p>
            <w:pPr>
              <w:spacing w:after="100" w:before="80"/>
            </w:pPr>
            <w:r>
              <w:rPr>
                <w:sz w:val="19"/>
              </w:rPr>
              <w:t>1.00</w:t>
            </w:r>
          </w:p>
        </w:tc>
      </w:tr>
    </w:tbl>
    <w:p>
      <w:pPr>
        <w:spacing w:after="20"/>
      </w:pPr>
    </w:p>
    <w:p>
      <w:r>
        <w:t>A small cluster may not have ten candidate songs. The method returns what it has instead of filling from other clusters, so both metrics reveal the shortfall.</w:t>
      </w:r>
    </w:p>
    <w:p>
      <w:r>
        <w:t>The current notebook uses Coverage@10=1.0000 for every method: all requested slots are filled in that run.</w:t>
      </w:r>
    </w:p>
    <w:p>
      <w:pPr>
        <w:pStyle w:val="Heading1"/>
      </w:pPr>
      <w:r>
        <w:t>6. Timing: explain units and measurement boundaries</w:t>
      </w:r>
    </w:p>
    <w:p>
      <w:r>
        <w:t>Fit seconds measures fitting the selected estimator. It excludes preprocessing and the additional K-Means fits used for the elbow curve. It therefore is not the complete wall-clock training time.</w:t>
      </w:r>
    </w:p>
    <w:p>
      <w:r>
        <w:t>Query ms/song measures average retrieval time per test query, including assigning a new query to a cluster. One second is 1,000 milliseconds.</w:t>
      </w:r>
    </w:p>
    <w:p>
      <w:r>
        <w:t>The notebook's saved comparison output is:</w:t>
      </w:r>
    </w:p>
    <w:tbl>
      <w:tblPr>
        <w:tblStyle w:val="TableGrid"/>
        <w:tblW w:type="auto" w:w="0"/>
        <w:tblLayout w:type="fixed"/>
        <w:tblLook w:firstColumn="1" w:firstRow="1" w:lastColumn="0" w:lastRow="0" w:noHBand="0" w:noVBand="1" w:val="04A0"/>
      </w:tblPr>
      <w:tblGrid>
        <w:gridCol w:w="1950"/>
        <w:gridCol w:w="1950"/>
        <w:gridCol w:w="1950"/>
        <w:gridCol w:w="1950"/>
        <w:gridCol w:w="1950"/>
      </w:tblGrid>
      <w:tr>
        <w:trPr>
          <w:tblHeader/>
          <w:cantSplit/>
        </w:trPr>
        <w:tc>
          <w:tcPr>
            <w:tcW w:type="dxa" w:w="1930"/>
            <w:shd w:fill="244C78"/>
          </w:tcPr>
          <w:p>
            <w:pPr>
              <w:spacing w:after="100" w:before="80"/>
            </w:pPr>
            <w:r>
              <w:rPr>
                <w:b/>
                <w:color w:val="FFFFFF"/>
                <w:sz w:val="19"/>
              </w:rPr>
              <w:t>Method</w:t>
            </w:r>
          </w:p>
        </w:tc>
        <w:tc>
          <w:tcPr>
            <w:tcW w:type="dxa" w:w="1930"/>
            <w:shd w:fill="244C78"/>
          </w:tcPr>
          <w:p>
            <w:pPr>
              <w:spacing w:after="100" w:before="80"/>
            </w:pPr>
            <w:r>
              <w:rPr>
                <w:b/>
                <w:color w:val="FFFFFF"/>
                <w:sz w:val="19"/>
              </w:rPr>
              <w:t>Precision@10</w:t>
            </w:r>
          </w:p>
        </w:tc>
        <w:tc>
          <w:tcPr>
            <w:tcW w:type="dxa" w:w="1930"/>
            <w:shd w:fill="244C78"/>
          </w:tcPr>
          <w:p>
            <w:pPr>
              <w:spacing w:after="100" w:before="80"/>
            </w:pPr>
            <w:r>
              <w:rPr>
                <w:b/>
                <w:color w:val="FFFFFF"/>
                <w:sz w:val="19"/>
              </w:rPr>
              <w:t>Coverage@10</w:t>
            </w:r>
          </w:p>
        </w:tc>
        <w:tc>
          <w:tcPr>
            <w:tcW w:type="dxa" w:w="1930"/>
            <w:shd w:fill="244C78"/>
          </w:tcPr>
          <w:p>
            <w:pPr>
              <w:spacing w:after="100" w:before="80"/>
            </w:pPr>
            <w:r>
              <w:rPr>
                <w:b/>
                <w:color w:val="FFFFFF"/>
                <w:sz w:val="19"/>
              </w:rPr>
              <w:t>Fit seconds</w:t>
            </w:r>
          </w:p>
        </w:tc>
        <w:tc>
          <w:tcPr>
            <w:tcW w:type="dxa" w:w="1930"/>
            <w:shd w:fill="244C78"/>
          </w:tcPr>
          <w:p>
            <w:pPr>
              <w:spacing w:after="100" w:before="80"/>
            </w:pPr>
            <w:r>
              <w:rPr>
                <w:b/>
                <w:color w:val="FFFFFF"/>
                <w:sz w:val="19"/>
              </w:rPr>
              <w:t>Query ms/song</w:t>
            </w:r>
          </w:p>
        </w:tc>
      </w:tr>
      <w:tr>
        <w:trPr>
          <w:cantSplit/>
        </w:trPr>
        <w:tc>
          <w:tcPr>
            <w:tcW w:type="dxa" w:w="1930"/>
            <w:shd w:fill="F5F8FC"/>
          </w:tcPr>
          <w:p>
            <w:pPr>
              <w:spacing w:after="100" w:before="80"/>
            </w:pPr>
            <w:r>
              <w:rPr>
                <w:sz w:val="19"/>
              </w:rPr>
              <w:t>KNN</w:t>
            </w:r>
          </w:p>
        </w:tc>
        <w:tc>
          <w:tcPr>
            <w:tcW w:type="dxa" w:w="1930"/>
            <w:shd w:fill="F5F8FC"/>
          </w:tcPr>
          <w:p>
            <w:pPr>
              <w:spacing w:after="100" w:before="80"/>
            </w:pPr>
            <w:r>
              <w:rPr>
                <w:sz w:val="19"/>
              </w:rPr>
              <w:t>1.0000</w:t>
            </w:r>
          </w:p>
        </w:tc>
        <w:tc>
          <w:tcPr>
            <w:tcW w:type="dxa" w:w="1930"/>
            <w:shd w:fill="F5F8FC"/>
          </w:tcPr>
          <w:p>
            <w:pPr>
              <w:spacing w:after="100" w:before="80"/>
            </w:pPr>
            <w:r>
              <w:rPr>
                <w:sz w:val="19"/>
              </w:rPr>
              <w:t>1.0000</w:t>
            </w:r>
          </w:p>
        </w:tc>
        <w:tc>
          <w:tcPr>
            <w:tcW w:type="dxa" w:w="1930"/>
            <w:shd w:fill="F5F8FC"/>
          </w:tcPr>
          <w:p>
            <w:pPr>
              <w:spacing w:after="100" w:before="80"/>
            </w:pPr>
            <w:r>
              <w:rPr>
                <w:sz w:val="19"/>
              </w:rPr>
              <w:t>0.0005</w:t>
            </w:r>
          </w:p>
        </w:tc>
        <w:tc>
          <w:tcPr>
            <w:tcW w:type="dxa" w:w="1930"/>
            <w:shd w:fill="F5F8FC"/>
          </w:tcPr>
          <w:p>
            <w:pPr>
              <w:spacing w:after="100" w:before="80"/>
            </w:pPr>
            <w:r>
              <w:rPr>
                <w:sz w:val="19"/>
              </w:rPr>
              <w:t>0.0218</w:t>
            </w:r>
          </w:p>
        </w:tc>
      </w:tr>
      <w:tr>
        <w:trPr>
          <w:cantSplit/>
        </w:trPr>
        <w:tc>
          <w:tcPr>
            <w:tcW w:type="dxa" w:w="1930"/>
          </w:tcPr>
          <w:p>
            <w:pPr>
              <w:spacing w:after="100" w:before="80"/>
            </w:pPr>
            <w:r>
              <w:rPr>
                <w:sz w:val="19"/>
              </w:rPr>
              <w:t>K-Means</w:t>
            </w:r>
          </w:p>
        </w:tc>
        <w:tc>
          <w:tcPr>
            <w:tcW w:type="dxa" w:w="1930"/>
          </w:tcPr>
          <w:p>
            <w:pPr>
              <w:spacing w:after="100" w:before="80"/>
            </w:pPr>
            <w:r>
              <w:rPr>
                <w:sz w:val="19"/>
              </w:rPr>
              <w:t>1.0000</w:t>
            </w:r>
          </w:p>
        </w:tc>
        <w:tc>
          <w:tcPr>
            <w:tcW w:type="dxa" w:w="1930"/>
          </w:tcPr>
          <w:p>
            <w:pPr>
              <w:spacing w:after="100" w:before="80"/>
            </w:pPr>
            <w:r>
              <w:rPr>
                <w:sz w:val="19"/>
              </w:rPr>
              <w:t>1.0000</w:t>
            </w:r>
          </w:p>
        </w:tc>
        <w:tc>
          <w:tcPr>
            <w:tcW w:type="dxa" w:w="1930"/>
          </w:tcPr>
          <w:p>
            <w:pPr>
              <w:spacing w:after="100" w:before="80"/>
            </w:pPr>
            <w:r>
              <w:rPr>
                <w:sz w:val="19"/>
              </w:rPr>
              <w:t>0.0493</w:t>
            </w:r>
          </w:p>
        </w:tc>
        <w:tc>
          <w:tcPr>
            <w:tcW w:type="dxa" w:w="1930"/>
          </w:tcPr>
          <w:p>
            <w:pPr>
              <w:spacing w:after="100" w:before="80"/>
            </w:pPr>
            <w:r>
              <w:rPr>
                <w:sz w:val="19"/>
              </w:rPr>
              <w:t>0.6349</w:t>
            </w:r>
          </w:p>
        </w:tc>
      </w:tr>
      <w:tr>
        <w:trPr>
          <w:cantSplit/>
        </w:trPr>
        <w:tc>
          <w:tcPr>
            <w:tcW w:type="dxa" w:w="1930"/>
            <w:shd w:fill="F5F8FC"/>
          </w:tcPr>
          <w:p>
            <w:pPr>
              <w:spacing w:after="100" w:before="80"/>
            </w:pPr>
            <w:r>
              <w:rPr>
                <w:sz w:val="19"/>
              </w:rPr>
              <w:t>Hierarchical</w:t>
            </w:r>
          </w:p>
        </w:tc>
        <w:tc>
          <w:tcPr>
            <w:tcW w:type="dxa" w:w="1930"/>
            <w:shd w:fill="F5F8FC"/>
          </w:tcPr>
          <w:p>
            <w:pPr>
              <w:spacing w:after="100" w:before="80"/>
            </w:pPr>
            <w:r>
              <w:rPr>
                <w:sz w:val="19"/>
              </w:rPr>
              <w:t>1.0000</w:t>
            </w:r>
          </w:p>
        </w:tc>
        <w:tc>
          <w:tcPr>
            <w:tcW w:type="dxa" w:w="1930"/>
            <w:shd w:fill="F5F8FC"/>
          </w:tcPr>
          <w:p>
            <w:pPr>
              <w:spacing w:after="100" w:before="80"/>
            </w:pPr>
            <w:r>
              <w:rPr>
                <w:sz w:val="19"/>
              </w:rPr>
              <w:t>1.0000</w:t>
            </w:r>
          </w:p>
        </w:tc>
        <w:tc>
          <w:tcPr>
            <w:tcW w:type="dxa" w:w="1930"/>
            <w:shd w:fill="F5F8FC"/>
          </w:tcPr>
          <w:p>
            <w:pPr>
              <w:spacing w:after="100" w:before="80"/>
            </w:pPr>
            <w:r>
              <w:rPr>
                <w:sz w:val="19"/>
              </w:rPr>
              <w:t>0.4415</w:t>
            </w:r>
          </w:p>
        </w:tc>
        <w:tc>
          <w:tcPr>
            <w:tcW w:type="dxa" w:w="1930"/>
            <w:shd w:fill="F5F8FC"/>
          </w:tcPr>
          <w:p>
            <w:pPr>
              <w:spacing w:after="100" w:before="80"/>
            </w:pPr>
            <w:r>
              <w:rPr>
                <w:sz w:val="19"/>
              </w:rPr>
              <w:t>0.5675</w:t>
            </w:r>
          </w:p>
        </w:tc>
      </w:tr>
    </w:tbl>
    <w:p>
      <w:pPr>
        <w:spacing w:after="20"/>
      </w:pPr>
    </w:p>
    <w:p>
      <w:r>
        <w:t>Interpretation: quality diagnostics tie on this split. KNN has lower measured fit and query times in this implementation. These timings do not prove KNN is always faster than clustering in every implementation.</w:t>
      </w:r>
    </w:p>
    <w:p>
      <w:r>
        <w:t>A specific reason for caution: the helper queries KNN in a batch, while cluster retrieval loops over queries and includes candidate selection and distance calculation. Python overhead and implementation choices affect the timing comparison. Repeated runs on an otherwise idle machine would be needed for stronger speed claims.</w:t>
      </w:r>
    </w:p>
    <w:p>
      <w:pPr>
        <w:pStyle w:val="Heading1"/>
      </w:pPr>
      <w:r>
        <w:t>7. Reading the comparison graphs correctly</w:t>
      </w:r>
    </w:p>
    <w:p>
      <w:r>
        <w:t>The quality graph compares Precision@10 and Coverage@10. These are separate fractions. In a stacked display, values 1 and 1 create a total height of 2. That total is not a meaningful score. Read the two legend values separately, or use the table. The notebook's pandas comparison uses grouped bars, while Streamlit's current automatic chart display can stack series.</w:t>
      </w:r>
    </w:p>
    <w:p>
      <w:r>
        <w:t>The timing graph uses milliseconds per query on the vertical axis. Smaller is faster. A very short bar does not mean poor recommendation quality; the two graphs measure different things.</w:t>
      </w:r>
    </w:p>
    <w:p>
      <w:r>
        <w:t>Yellow table highlights identify the highest precision/coverage or the lowest recorded times. If all methods tie on a metric, all three may be highlighted. Do not present colour alone as evidence of one overall winner.</w:t>
      </w:r>
    </w:p>
    <w:p>
      <w:pPr>
        <w:pStyle w:val="Heading1"/>
      </w:pPr>
      <w:r>
        <w:t>8. Classification accuracy</w:t>
      </w:r>
    </w:p>
    <w:p>
      <w:r>
        <w:t>Accuracy = correctly predicted test genres / number of test songs.</w:t>
      </w:r>
    </w:p>
    <w:p>
      <w:r>
        <w:t>The current default classifier makes 567 correct predictions out of 985, giving approximately 57.56%. The optimized classifier makes 603 correct predictions, giving approximately 61.22%.</w:t>
      </w:r>
    </w:p>
    <w:p>
      <w:pPr>
        <w:pStyle w:val="CodeBlock"/>
        <w:shd w:fill="F0F3F7"/>
      </w:pPr>
      <w:r>
        <w:t>from sklearn.metrics import accuracy_score</w:t>
        <w:br/>
        <w:br/>
        <w:t>y_pred = knn.predict(X_test_scaled)</w:t>
        <w:br/>
        <w:t>accuracy = accuracy_score(y_test, y_pred)</w:t>
      </w:r>
    </w:p>
    <w:p>
      <w:r>
        <w:t>predict uses only the twelve numerical inputs. Accuracy does not say how many of a user's recommended songs they will enjoy.</w:t>
      </w:r>
    </w:p>
    <w:p>
      <w:pPr>
        <w:pStyle w:val="Heading1"/>
      </w:pPr>
      <w:r>
        <w:t>9. Precision, recall and F1 for classification</w:t>
      </w:r>
    </w:p>
    <w:p>
      <w:r>
        <w:t>Explain one genre first. Suppose we discuss jazz:</w:t>
      </w:r>
    </w:p>
    <w:p>
      <w:pPr>
        <w:pStyle w:val="ListBullet"/>
      </w:pPr>
      <w:r>
        <w:t>True positive (TP): actual jazz predicted as jazz.</w:t>
      </w:r>
    </w:p>
    <w:p>
      <w:pPr>
        <w:pStyle w:val="ListBullet"/>
      </w:pPr>
      <w:r>
        <w:t>False positive (FP): a non-jazz song incorrectly predicted as jazz.</w:t>
      </w:r>
    </w:p>
    <w:p>
      <w:pPr>
        <w:pStyle w:val="ListBullet"/>
      </w:pPr>
      <w:r>
        <w:t>False negative (FN): actual jazz predicted as something else.</w:t>
      </w:r>
    </w:p>
    <w:p>
      <w:r>
        <w:t>Precision = TP / (TP + FP). Of songs predicted as jazz, how many really are jazz? Recall = TP / (TP + FN). Of actual jazz songs, how many did the classifier find? F1 = 2 × precision × recall / (precision + recall). It balances the two for that class.</w:t>
      </w:r>
    </w:p>
    <w:p>
      <w:r>
        <w:t>Illustrative example: TP=30, FP=10, FN=20 gives precision 30/40=0.75, recall 30/50=0.60 and F1 approximately 0.667. This example is for learning the formulas; it is not a measured jazz row from the notebook.</w:t>
      </w:r>
    </w:p>
    <w:p>
      <w:pPr>
        <w:pStyle w:val="Heading2"/>
      </w:pPr>
      <w:r>
        <w:t>Why weighted averages?</w:t>
      </w:r>
    </w:p>
    <w:p>
      <w:r>
        <w:t>After cleaning, genres have unequal sample counts. sklearn calculates each genre's score and averages using its support, meaning the number of true examples in that genre.</w:t>
      </w:r>
    </w:p>
    <w:p>
      <w:pPr>
        <w:pStyle w:val="CodeBlock"/>
        <w:shd w:fill="F0F3F7"/>
      </w:pPr>
      <w:r>
        <w:t>from sklearn.metrics import precision_score, recall_score, f1_score</w:t>
        <w:br/>
        <w:br/>
        <w:t>precision = precision_score(</w:t>
        <w:br/>
        <w:t xml:space="preserve">    y_test, y_pred, average="weighted", zero_division=0</w:t>
        <w:br/>
        <w:t>)</w:t>
        <w:br/>
        <w:t>recall = recall_score(</w:t>
        <w:br/>
        <w:t xml:space="preserve">    y_test, y_pred, average="weighted", zero_division=0</w:t>
        <w:br/>
        <w:t>)</w:t>
        <w:br/>
        <w:t>f1 = f1_score(</w:t>
        <w:br/>
        <w:t xml:space="preserve">    y_test, y_pred, average="weighted", zero_division=0</w:t>
        <w:br/>
        <w:t>)</w:t>
      </w:r>
    </w:p>
    <w:p>
      <w:r>
        <w:t>zero_division=0 gives zero when a class's metric has an undefined denominator. Weighted F1 is calculated from per-class F1 scores; do not assume it equals the F1 formula applied directly to the already averaged precision and recall.</w:t>
      </w:r>
    </w:p>
    <w:p>
      <w:r>
        <w:t>In single-label multiclass classification, weighted recall equals overall accuracy. That explains why both values match in our table; it is not necessarily a coding error.</w:t>
      </w:r>
    </w:p>
    <w:p>
      <w:pPr>
        <w:pStyle w:val="Heading1"/>
      </w:pPr>
      <w:r>
        <w:t>10. Confusion matrix and per-genre report</w:t>
      </w:r>
    </w:p>
    <w:p>
      <w:r>
        <w:t>The confusion matrix has actual genres on rows and predicted genres on columns. Diagonal cells are correct predictions. Off-diagonal cells show which genres are confused.</w:t>
      </w:r>
    </w:p>
    <w:p>
      <w:pPr>
        <w:pStyle w:val="CodeBlock"/>
        <w:shd w:fill="F0F3F7"/>
      </w:pPr>
      <w:r>
        <w:t>from sklearn.metrics import confusion_matrix, classification_report</w:t>
        <w:br/>
        <w:br/>
        <w:t>cm = confusion_matrix(y_test, y_pred)</w:t>
        <w:br/>
        <w:t>print(classification_report(</w:t>
        <w:br/>
        <w:t xml:space="preserve">    y_test, y_pred, target_names=genre_encoder.classes_</w:t>
        <w:br/>
        <w:t>))</w:t>
      </w:r>
    </w:p>
    <w:p>
      <w:r>
        <w:t>Read one row: of the songs truly in that genre, how many went to each predicted label? A strong diagonal is useful, but also inspect support and off-diagonal patterns.</w:t>
      </w:r>
    </w:p>
    <w:p>
      <w:r>
        <w:t>The optimized matrix's diagonal sums to 603 and every cell together sums to 985. Its per-genre report explains which groups the model handles well. Do not infer that every song in a difficult genre is inherently indistinguishable; our selected features are incomplete descriptions of music.</w:t>
      </w:r>
    </w:p>
    <w:p>
      <w:pPr>
        <w:pStyle w:val="Heading1"/>
      </w:pPr>
      <w:r>
        <w:t>11. Cross-validation: what five folds mean</w:t>
      </w:r>
    </w:p>
    <w:p>
      <w:r>
        <w:t>The notebook first holds out the 985 test songs. Cross-validation then operates on the 3,940 training songs. With five folds, each validation fold has about 788 songs and each training portion about 3,152 songs.</w:t>
      </w:r>
    </w:p>
    <w:p>
      <w:r>
        <w:t>A model is fitted on four folds and scored on the remaining fold. Repeat so each fold serves as validation once, then average the scores.</w:t>
      </w:r>
    </w:p>
    <w:p>
      <w:pPr>
        <w:pStyle w:val="CodeBlock"/>
        <w:shd w:fill="F0F3F7"/>
      </w:pPr>
      <w:r>
        <w:t>from sklearn.model_selection import cross_val_score</w:t>
        <w:br/>
        <w:t>from sklearn.neighbors import KNeighborsClassifier</w:t>
        <w:br/>
        <w:br/>
        <w:t>scores = cross_val_score(</w:t>
        <w:br/>
        <w:t xml:space="preserve">    KNeighborsClassifier(metric="euclidean"),</w:t>
        <w:br/>
        <w:t xml:space="preserve">    X_train_scaled, y_train,</w:t>
        <w:br/>
        <w:t xml:space="preserve">    cv=5, scoring="accuracy"</w:t>
        <w:br/>
        <w:t>)</w:t>
        <w:br/>
        <w:t>print(scores)</w:t>
        <w:br/>
        <w:t>print(scores.mean(), scores.std())</w:t>
      </w:r>
    </w:p>
    <w:p>
      <w:r>
        <w:t>Saved default-fold accuracies are approximately [0.5660, 0.5711, 0.5622, 0.5635, 0.5698]. The mean is 56.65% and the standard deviation is 0.0035, about 0.35 percentage points.</w:t>
      </w:r>
    </w:p>
    <w:p>
      <w:r>
        <w:t>Similar fold scores suggest reasonably consistent performance across those folds. They do not guarantee generalization to every music catalogue or eliminate label noise.</w:t>
      </w:r>
    </w:p>
    <w:p>
      <w:pPr>
        <w:pStyle w:val="Heading2"/>
      </w:pPr>
      <w:r>
        <w:t>A preprocessing limitation worth knowing</w:t>
      </w:r>
    </w:p>
    <w:p>
      <w:r>
        <w:t>The current notebook scales the training portion once before cross-validation, rather than refitting the scaler inside each fold. Test-set audio is still excluded from scaler fitting, but the internal validation folds share training-set scaling boundaries. A stricter CV design would refit preprocessing separately within each fold. Explain this calmly if asked; do not claim perfect fold isolation for preprocessing.</w:t>
      </w:r>
    </w:p>
    <w:p>
      <w:pPr>
        <w:pStyle w:val="Heading1"/>
      </w:pPr>
      <w:r>
        <w:t>12. Grid search: explain all ninety fits</w:t>
      </w:r>
    </w:p>
    <w:p>
      <w:r>
        <w:t>The current grid varies classifier neighbour count and voting weights while keeping Euclidean distance fixed.</w:t>
      </w:r>
    </w:p>
    <w:p>
      <w:pPr>
        <w:pStyle w:val="CodeBlock"/>
        <w:shd w:fill="F0F3F7"/>
      </w:pPr>
      <w:r>
        <w:t>from sklearn.model_selection import GridSearchCV</w:t>
        <w:br/>
        <w:br/>
        <w:t>param_grid = {</w:t>
        <w:br/>
        <w:t xml:space="preserve">    "n_neighbors": [3, 5, 7, 9, 11, 15, 21, 25, 31],</w:t>
        <w:br/>
        <w:t xml:space="preserve">    "weights": ["uniform", "distance"],</w:t>
        <w:br/>
        <w:t xml:space="preserve">    "metric": ["euclidean"]</w:t>
        <w:br/>
        <w:t>}</w:t>
        <w:br/>
        <w:t>grid = GridSearchCV(</w:t>
        <w:br/>
        <w:t xml:space="preserve">    KNeighborsClassifier(metric="euclidean"),</w:t>
        <w:br/>
        <w:t xml:space="preserve">    param_grid, cv=5, scoring="accuracy", n_jobs=-1</w:t>
        <w:br/>
        <w:t>)</w:t>
        <w:br/>
        <w:t>grid.fit(X_train_scaled, y_train)</w:t>
        <w:br/>
        <w:t>best_knn = grid.best_estimator_</w:t>
      </w:r>
    </w:p>
    <w:p>
      <w:r>
        <w:t>There are 9 neighbour counts × 2 weighting choices × 1 distance = 18 parameter combinations. Each is scored over five folds: 18 × 5 = 90 fits. GridSearchCV then refits the selected estimator on the full training portion by default. That final refit is separate from the displayed 90 CV fits.</w:t>
      </w:r>
    </w:p>
    <w:p>
      <w:r>
        <w:t>uniform gives each neighbour one vote. distance gives closer neighbours more voting influence. n_jobs=-1 lets sklearn use available CPU workers for the search; this can increase machine load while it runs.</w:t>
      </w:r>
    </w:p>
    <w:p>
      <w:r>
        <w:t>The saved best configuration is K=15, distance voting, Euclidean distance. Mean CV accuracy is 60.28%. The final held-out accuracy is 61.22%. These percentages describe different evaluation samples, so they need not match.</w:t>
      </w:r>
    </w:p>
    <w:p>
      <w:pPr>
        <w:pStyle w:val="Heading1"/>
      </w:pPr>
      <w:r>
        <w:t>13. Before-and-after results: what improved?</w:t>
      </w:r>
    </w:p>
    <w:tbl>
      <w:tblPr>
        <w:tblStyle w:val="TableGrid"/>
        <w:tblW w:type="auto" w:w="0"/>
        <w:tblLayout w:type="fixed"/>
        <w:tblLook w:firstColumn="1" w:firstRow="1" w:lastColumn="0" w:lastRow="0" w:noHBand="0" w:noVBand="1" w:val="04A0"/>
      </w:tblPr>
      <w:tblGrid>
        <w:gridCol w:w="3250"/>
        <w:gridCol w:w="3250"/>
        <w:gridCol w:w="3250"/>
      </w:tblGrid>
      <w:tr>
        <w:trPr>
          <w:tblHeader/>
          <w:cantSplit/>
        </w:trPr>
        <w:tc>
          <w:tcPr>
            <w:tcW w:type="dxa" w:w="3216"/>
            <w:shd w:fill="244C78"/>
          </w:tcPr>
          <w:p>
            <w:pPr>
              <w:spacing w:after="100" w:before="80"/>
            </w:pPr>
            <w:r>
              <w:rPr>
                <w:b/>
                <w:color w:val="FFFFFF"/>
                <w:sz w:val="19"/>
              </w:rPr>
              <w:t>Classification metric</w:t>
            </w:r>
          </w:p>
        </w:tc>
        <w:tc>
          <w:tcPr>
            <w:tcW w:type="dxa" w:w="3216"/>
            <w:shd w:fill="244C78"/>
          </w:tcPr>
          <w:p>
            <w:pPr>
              <w:spacing w:after="100" w:before="80"/>
            </w:pPr>
            <w:r>
              <w:rPr>
                <w:b/>
                <w:color w:val="FFFFFF"/>
                <w:sz w:val="19"/>
              </w:rPr>
              <w:t>Default KNN</w:t>
            </w:r>
          </w:p>
        </w:tc>
        <w:tc>
          <w:tcPr>
            <w:tcW w:type="dxa" w:w="3216"/>
            <w:shd w:fill="244C78"/>
          </w:tcPr>
          <w:p>
            <w:pPr>
              <w:spacing w:after="100" w:before="80"/>
            </w:pPr>
            <w:r>
              <w:rPr>
                <w:b/>
                <w:color w:val="FFFFFF"/>
                <w:sz w:val="19"/>
              </w:rPr>
              <w:t>Optimized KNN</w:t>
            </w:r>
          </w:p>
        </w:tc>
      </w:tr>
      <w:tr>
        <w:trPr>
          <w:cantSplit/>
        </w:trPr>
        <w:tc>
          <w:tcPr>
            <w:tcW w:type="dxa" w:w="3216"/>
            <w:shd w:fill="F5F8FC"/>
          </w:tcPr>
          <w:p>
            <w:pPr>
              <w:spacing w:after="100" w:before="80"/>
            </w:pPr>
            <w:r>
              <w:rPr>
                <w:sz w:val="19"/>
              </w:rPr>
              <w:t>Accuracy</w:t>
            </w:r>
          </w:p>
        </w:tc>
        <w:tc>
          <w:tcPr>
            <w:tcW w:type="dxa" w:w="3216"/>
            <w:shd w:fill="F5F8FC"/>
          </w:tcPr>
          <w:p>
            <w:pPr>
              <w:spacing w:after="100" w:before="80"/>
            </w:pPr>
            <w:r>
              <w:rPr>
                <w:sz w:val="19"/>
              </w:rPr>
              <w:t>0.5756</w:t>
            </w:r>
          </w:p>
        </w:tc>
        <w:tc>
          <w:tcPr>
            <w:tcW w:type="dxa" w:w="3216"/>
            <w:shd w:fill="F5F8FC"/>
          </w:tcPr>
          <w:p>
            <w:pPr>
              <w:spacing w:after="100" w:before="80"/>
            </w:pPr>
            <w:r>
              <w:rPr>
                <w:sz w:val="19"/>
              </w:rPr>
              <w:t>0.6122</w:t>
            </w:r>
          </w:p>
        </w:tc>
      </w:tr>
      <w:tr>
        <w:trPr>
          <w:cantSplit/>
        </w:trPr>
        <w:tc>
          <w:tcPr>
            <w:tcW w:type="dxa" w:w="3216"/>
          </w:tcPr>
          <w:p>
            <w:pPr>
              <w:spacing w:after="100" w:before="80"/>
            </w:pPr>
            <w:r>
              <w:rPr>
                <w:sz w:val="19"/>
              </w:rPr>
              <w:t>Weighted precision</w:t>
            </w:r>
          </w:p>
        </w:tc>
        <w:tc>
          <w:tcPr>
            <w:tcW w:type="dxa" w:w="3216"/>
          </w:tcPr>
          <w:p>
            <w:pPr>
              <w:spacing w:after="100" w:before="80"/>
            </w:pPr>
            <w:r>
              <w:rPr>
                <w:sz w:val="19"/>
              </w:rPr>
              <w:t>0.5723</w:t>
            </w:r>
          </w:p>
        </w:tc>
        <w:tc>
          <w:tcPr>
            <w:tcW w:type="dxa" w:w="3216"/>
          </w:tcPr>
          <w:p>
            <w:pPr>
              <w:spacing w:after="100" w:before="80"/>
            </w:pPr>
            <w:r>
              <w:rPr>
                <w:sz w:val="19"/>
              </w:rPr>
              <w:t>0.6053</w:t>
            </w:r>
          </w:p>
        </w:tc>
      </w:tr>
      <w:tr>
        <w:trPr>
          <w:cantSplit/>
        </w:trPr>
        <w:tc>
          <w:tcPr>
            <w:tcW w:type="dxa" w:w="3216"/>
            <w:shd w:fill="F5F8FC"/>
          </w:tcPr>
          <w:p>
            <w:pPr>
              <w:spacing w:after="100" w:before="80"/>
            </w:pPr>
            <w:r>
              <w:rPr>
                <w:sz w:val="19"/>
              </w:rPr>
              <w:t>Weighted recall</w:t>
            </w:r>
          </w:p>
        </w:tc>
        <w:tc>
          <w:tcPr>
            <w:tcW w:type="dxa" w:w="3216"/>
            <w:shd w:fill="F5F8FC"/>
          </w:tcPr>
          <w:p>
            <w:pPr>
              <w:spacing w:after="100" w:before="80"/>
            </w:pPr>
            <w:r>
              <w:rPr>
                <w:sz w:val="19"/>
              </w:rPr>
              <w:t>0.5756</w:t>
            </w:r>
          </w:p>
        </w:tc>
        <w:tc>
          <w:tcPr>
            <w:tcW w:type="dxa" w:w="3216"/>
            <w:shd w:fill="F5F8FC"/>
          </w:tcPr>
          <w:p>
            <w:pPr>
              <w:spacing w:after="100" w:before="80"/>
            </w:pPr>
            <w:r>
              <w:rPr>
                <w:sz w:val="19"/>
              </w:rPr>
              <w:t>0.6122</w:t>
            </w:r>
          </w:p>
        </w:tc>
      </w:tr>
      <w:tr>
        <w:trPr>
          <w:cantSplit/>
        </w:trPr>
        <w:tc>
          <w:tcPr>
            <w:tcW w:type="dxa" w:w="3216"/>
          </w:tcPr>
          <w:p>
            <w:pPr>
              <w:spacing w:after="100" w:before="80"/>
            </w:pPr>
            <w:r>
              <w:rPr>
                <w:sz w:val="19"/>
              </w:rPr>
              <w:t>Weighted F1</w:t>
            </w:r>
          </w:p>
        </w:tc>
        <w:tc>
          <w:tcPr>
            <w:tcW w:type="dxa" w:w="3216"/>
          </w:tcPr>
          <w:p>
            <w:pPr>
              <w:spacing w:after="100" w:before="80"/>
            </w:pPr>
            <w:r>
              <w:rPr>
                <w:sz w:val="19"/>
              </w:rPr>
              <w:t>0.5684</w:t>
            </w:r>
          </w:p>
        </w:tc>
        <w:tc>
          <w:tcPr>
            <w:tcW w:type="dxa" w:w="3216"/>
          </w:tcPr>
          <w:p>
            <w:pPr>
              <w:spacing w:after="100" w:before="80"/>
            </w:pPr>
            <w:r>
              <w:rPr>
                <w:sz w:val="19"/>
              </w:rPr>
              <w:t>0.6048</w:t>
            </w:r>
          </w:p>
        </w:tc>
      </w:tr>
      <w:tr>
        <w:trPr>
          <w:cantSplit/>
        </w:trPr>
        <w:tc>
          <w:tcPr>
            <w:tcW w:type="dxa" w:w="3216"/>
            <w:shd w:fill="F5F8FC"/>
          </w:tcPr>
          <w:p>
            <w:pPr>
              <w:spacing w:after="100" w:before="80"/>
            </w:pPr>
            <w:r>
              <w:rPr>
                <w:sz w:val="19"/>
              </w:rPr>
              <w:t>Mean CV accuracy</w:t>
            </w:r>
          </w:p>
        </w:tc>
        <w:tc>
          <w:tcPr>
            <w:tcW w:type="dxa" w:w="3216"/>
            <w:shd w:fill="F5F8FC"/>
          </w:tcPr>
          <w:p>
            <w:pPr>
              <w:spacing w:after="100" w:before="80"/>
            </w:pPr>
            <w:r>
              <w:rPr>
                <w:sz w:val="19"/>
              </w:rPr>
              <w:t>0.5665</w:t>
            </w:r>
          </w:p>
        </w:tc>
        <w:tc>
          <w:tcPr>
            <w:tcW w:type="dxa" w:w="3216"/>
            <w:shd w:fill="F5F8FC"/>
          </w:tcPr>
          <w:p>
            <w:pPr>
              <w:spacing w:after="100" w:before="80"/>
            </w:pPr>
            <w:r>
              <w:rPr>
                <w:sz w:val="19"/>
              </w:rPr>
              <w:t>0.6028</w:t>
            </w:r>
          </w:p>
        </w:tc>
      </w:tr>
      <w:tr>
        <w:trPr>
          <w:cantSplit/>
        </w:trPr>
        <w:tc>
          <w:tcPr>
            <w:tcW w:type="dxa" w:w="3216"/>
          </w:tcPr>
          <w:p>
            <w:pPr>
              <w:spacing w:after="100" w:before="80"/>
            </w:pPr>
            <w:r>
              <w:rPr>
                <w:sz w:val="19"/>
              </w:rPr>
              <w:t>Recommendation Precision@10</w:t>
            </w:r>
          </w:p>
        </w:tc>
        <w:tc>
          <w:tcPr>
            <w:tcW w:type="dxa" w:w="3216"/>
          </w:tcPr>
          <w:p>
            <w:pPr>
              <w:spacing w:after="100" w:before="80"/>
            </w:pPr>
            <w:r>
              <w:rPr>
                <w:sz w:val="19"/>
              </w:rPr>
              <w:t>1.0000</w:t>
            </w:r>
          </w:p>
        </w:tc>
        <w:tc>
          <w:tcPr>
            <w:tcW w:type="dxa" w:w="3216"/>
          </w:tcPr>
          <w:p>
            <w:pPr>
              <w:spacing w:after="100" w:before="80"/>
            </w:pPr>
            <w:r>
              <w:rPr>
                <w:sz w:val="19"/>
              </w:rPr>
              <w:t>1.0000</w:t>
            </w:r>
          </w:p>
        </w:tc>
      </w:tr>
    </w:tbl>
    <w:p>
      <w:pPr>
        <w:spacing w:after="20"/>
      </w:pPr>
    </w:p>
    <w:p>
      <w:r>
        <w:t>Genre-prediction accuracy improves by about 3.65 percentage points, using unrounded counts: 36 extra correct predictions out of 985. Reporting rounded percentages independently can make subtraction look slightly different.</w:t>
      </w:r>
    </w:p>
    <w:p>
      <w:r>
        <w:t>Recommendation Precision@10 does not improve because classification K and voting weights do not change our fixed Euclidean retrieval rule. Recommendation count 10 is a separate parameter.</w:t>
      </w:r>
    </w:p>
    <w:p>
      <w:r>
        <w:t>Avoid saying optimization improved every metric. It improved the recorded classification scores; the recommendation consistency score stayed unchanged.</w:t>
      </w:r>
    </w:p>
    <w:p>
      <w:pPr>
        <w:pStyle w:val="Heading1"/>
      </w:pPr>
      <w:r>
        <w:t>14. Accuracy-by-K graph: why can its best K differ?</w:t>
      </w:r>
    </w:p>
    <w:p>
      <w:r>
        <w:t>The notebook tests neighbour counts 1–30 for the baseline uniform-weight classifier and plots held-out accuracy. This is an exploratory graph showing how neighbour count affects predictions.</w:t>
      </w:r>
    </w:p>
    <w:p>
      <w:r>
        <w:t>Grid search selects using cross-validation and also considers distance weighting. Different weights and evaluation splits can produce a different best K. The plotted sweep's best K is not automatically the final grid-search choice.</w:t>
      </w:r>
    </w:p>
    <w:p>
      <w:r>
        <w:t>Repeatedly changing decisions after looking at the held-out curve can bias an experiment. We describe that curve as exploratory and select the reported classifier with CV. A more rigorous future evaluation would preserve an untouched final test set after all exploration.</w:t>
      </w:r>
    </w:p>
    <w:p>
      <w:pPr>
        <w:pStyle w:val="Heading1"/>
      </w:pPr>
      <w:r>
        <w:t>15. Elbow method and automatic cluster count</w:t>
      </w:r>
    </w:p>
    <w:p>
      <w:r>
        <w:t>The clustering K means number of groups, not classifier neighbours and not the number of returned recommendations.</w:t>
      </w:r>
    </w:p>
    <w:p>
      <w:r>
        <w:t>For candidate counts, K-Means reports inertia: total squared distance of training points from their assigned centers. It generally falls as the number of groups increases. The elbow is the bend after which extra groups produce smaller gains.</w:t>
      </w:r>
    </w:p>
    <w:p>
      <w:r>
        <w:t>The shared implementation normally tries counts 1–12, limited by distinct training vectors. A manually requested count outside that range is also fitted. It uses training features only; no held-out recommendation scores select the elbow.</w:t>
      </w:r>
    </w:p>
    <w:p>
      <w:r>
        <w:t>The project's automatic heuristic normalizes the curve and finds the interior point farthest below the straight line joining its endpoints:</w:t>
      </w:r>
    </w:p>
    <w:p>
      <w:pPr>
        <w:pStyle w:val="CodeBlock"/>
        <w:shd w:fill="F0F3F7"/>
      </w:pPr>
      <w:r>
        <w:t># Equivalent to the central calculation in detect_elbow.</w:t>
        <w:br/>
        <w:t>x = (counts - counts[0]) / (counts[-1] - counts[0])</w:t>
        <w:br/>
        <w:t>y = (inertia - inertia[-1]) / (inertia[0] - inertia[-1])</w:t>
        <w:br/>
        <w:t>bends = 1 - x - y</w:t>
        <w:br/>
        <w:t>index = np.argmax(bends[1:-1]) + 1</w:t>
      </w:r>
    </w:p>
    <w:p>
      <w:r>
        <w:t>Normalization puts cluster count and inertia on comparable 0–1 scales. Excluding the endpoints prevents selecting the trivial ends of the curve. This is an interpretable geometric heuristic, not a guarantee of the best clusters.</w:t>
      </w:r>
    </w:p>
    <w:p>
      <w:r>
        <w:t>In Streamlit, leaving Number of clusters blank selects this automatic path. An entered value overrides it. In the notebook, n_clusters=None enables automatic selection; the saved example currently uses n_clusters=7 manually.</w:t>
      </w:r>
    </w:p>
    <w:p>
      <w:r>
        <w:t>If a valid curve has too few points or no detectable bend, the helper falls back to 2 clusters and reports fallback. A dataset with fewer than two distinct training vectors is rejected because meaningful clustering cannot proceed.</w:t>
      </w:r>
    </w:p>
    <w:p>
      <w:r>
        <w:t>The red line marks the count actually used. When a different elbow is detected under a manual override, the app can also show a separate detected-elbow marker. The presence of a red line alone does not mean the algorithm automatically chose it.</w:t>
      </w:r>
    </w:p>
    <w:p>
      <w:pPr>
        <w:pStyle w:val="Heading1"/>
      </w:pPr>
      <w:r>
        <w:t>16. Dendrogram and cluster sizes</w:t>
      </w:r>
    </w:p>
    <w:p>
      <w:r>
        <w:t>The dendrogram shows the merge hierarchy produced by Ward clustering. A high merge joins more dissimilar groups under that criterion. The display is truncated to 25 final groups for readability; the model still fitted all selected training candidates.</w:t>
      </w:r>
    </w:p>
    <w:p>
      <w:r>
        <w:t>Cluster-size charts show whether one group dominates or some groups are too small to return ten suggestions. Cluster numbers are arbitrary and do not correspond directly between K-Means and hierarchical clustering.</w:t>
      </w:r>
    </w:p>
    <w:p>
      <w:r>
        <w:t>The project uses the K-Means elbow count for both clustering methods so they share a count. This is a comparison design choice, not an independent optimization of the hierarchical model's count.</w:t>
      </w:r>
    </w:p>
    <w:p>
      <w:pPr>
        <w:pStyle w:val="Heading1"/>
      </w:pPr>
      <w:r>
        <w:t>17. Presentation route: approximately six minutes</w:t>
      </w:r>
    </w:p>
    <w:p>
      <w:pPr>
        <w:ind w:left="259" w:hanging="259"/>
      </w:pPr>
      <w:r>
        <w:t>1. Separate recommendation and classification evaluation (40 seconds).</w:t>
      </w:r>
    </w:p>
    <w:p>
      <w:pPr>
        <w:ind w:left="259" w:hanging="259"/>
      </w:pPr>
      <w:r>
        <w:t>2. Explain Precision@10 and Coverage@10 with the six-result example (60 seconds).</w:t>
      </w:r>
    </w:p>
    <w:p>
      <w:pPr>
        <w:ind w:left="259" w:hanging="259"/>
      </w:pPr>
      <w:r>
        <w:t>3. Read the actual three-method table and timing limitations (50 seconds).</w:t>
      </w:r>
    </w:p>
    <w:p>
      <w:pPr>
        <w:ind w:left="259" w:hanging="259"/>
      </w:pPr>
      <w:r>
        <w:t>4. Explain accuracy, one genre's precision/recall and the confusion matrix (70 seconds).</w:t>
      </w:r>
    </w:p>
    <w:p>
      <w:pPr>
        <w:ind w:left="259" w:hanging="259"/>
      </w:pPr>
      <w:r>
        <w:t>5. Explain five-fold CV and 18 × 5 = 90 fits (70 seconds).</w:t>
      </w:r>
    </w:p>
    <w:p>
      <w:pPr>
        <w:ind w:left="259" w:hanging="259"/>
      </w:pPr>
      <w:r>
        <w:t>6. Explain the elbow/manual override and its distinction from KNN K (50 seconds).</w:t>
      </w:r>
    </w:p>
    <w:p>
      <w:pPr>
        <w:ind w:left="259" w:hanging="259"/>
      </w:pPr>
      <w:r>
        <w:t>7. Finish with the measured improvement and the genre-consistency limitation (30 seconds).</w:t>
      </w:r>
    </w:p>
    <w:p>
      <w:r>
        <w:t>Suggested closing: “Our project recommends songs using audio and genre, compares three retrieval approaches, and demonstrates preprocessing, clustering and classifier tuning from the syllabus. The tuned audio-only classifier performs better on our split. Genre-aware recommendation scores show consistency with the chosen genre, but user preference would require separate evidence.”</w:t>
      </w:r>
    </w:p>
    <w:p>
      <w:pPr>
        <w:pStyle w:val="Heading1"/>
      </w:pPr>
      <w:r>
        <w:t>18. Likely questions and short answers</w:t>
      </w:r>
    </w:p>
    <w:p>
      <w:pPr>
        <w:pStyle w:val="Heading2"/>
      </w:pPr>
      <w:r>
        <w:t>Why is Precision@10 100% but classification accuracy only 61.22%?</w:t>
      </w:r>
    </w:p>
    <w:p>
      <w:r>
        <w:t>They are different tasks with different inputs. Recommendation sees known genre; classification must infer it from audio only.</w:t>
      </w:r>
    </w:p>
    <w:p>
      <w:pPr>
        <w:pStyle w:val="Heading2"/>
      </w:pPr>
      <w:r>
        <w:t>What does Coverage@10=1 mean?</w:t>
      </w:r>
    </w:p>
    <w:p>
      <w:r>
        <w:t>All ten requested results were returned on average. It is not catalogue coverage.</w:t>
      </w:r>
    </w:p>
    <w:p>
      <w:pPr>
        <w:pStyle w:val="Heading2"/>
      </w:pPr>
      <w:r>
        <w:t>Which model wins?</w:t>
      </w:r>
    </w:p>
    <w:p>
      <w:r>
        <w:t>The three consistency scores tie in the current notebook. KNN has the lowest recorded runtime in this implementation. We cannot claim a universal best model from one split and these metrics.</w:t>
      </w:r>
    </w:p>
    <w:p>
      <w:pPr>
        <w:pStyle w:val="Heading2"/>
      </w:pPr>
      <w:r>
        <w:t>Why does tuning not improve recommendations?</w:t>
      </w:r>
    </w:p>
    <w:p>
      <w:r>
        <w:t>K and weights control classifier voting. Euclidean distance and the recommendation vector remain unchanged.</w:t>
      </w:r>
    </w:p>
    <w:p>
      <w:pPr>
        <w:pStyle w:val="Heading2"/>
      </w:pPr>
      <w:r>
        <w:t>Does grid search try 90 different settings?</w:t>
      </w:r>
    </w:p>
    <w:p>
      <w:r>
        <w:t>No. It tries 18 settings across five folds, making 90 CV fits, then normally refits the selected estimator once.</w:t>
      </w:r>
    </w:p>
    <w:p>
      <w:pPr>
        <w:pStyle w:val="Heading2"/>
      </w:pPr>
      <w:r>
        <w:t>Why do accuracy and weighted recall match?</w:t>
      </w:r>
    </w:p>
    <w:p>
      <w:r>
        <w:t>In this single-label multiclass setting, weighted recall is mathematically equal to accuracy.</w:t>
      </w:r>
    </w:p>
    <w:p>
      <w:pPr>
        <w:pStyle w:val="Heading2"/>
      </w:pPr>
      <w:r>
        <w:t>Can we compare a new all-genre run to the seven-genre score directly?</w:t>
      </w:r>
    </w:p>
    <w:p>
      <w:r>
        <w:t>No. Changing genres, sample sizes or features changes the experiment. State the conditions and compare methods within the same run.</w:t>
      </w:r>
    </w:p>
    <w:p>
      <w:pPr>
        <w:pStyle w:val="Heading2"/>
      </w:pPr>
      <w:r>
        <w:t>Is automatic elbow detection guaranteed to find the true number of genres?</w:t>
      </w:r>
    </w:p>
    <w:p>
      <w:r>
        <w:t>No. It detects a bend in a training clustering curve. Clusters are not genre classes, and the heuristic can be ambiguous or require a fallback.</w:t>
      </w:r>
    </w:p>
    <w:p>
      <w:pPr>
        <w:pStyle w:val="Heading2"/>
      </w:pPr>
      <w:r>
        <w:t>Does a higher consistency score prove a better listening experience?</w:t>
      </w:r>
    </w:p>
    <w:p>
      <w:r>
        <w:t>No. Genre is already part of the input. Listener ratings or behaviour would be needed for that claim, and this dataset does not provide them.</w:t>
      </w:r>
    </w:p>
    <w:p>
      <w:pPr>
        <w:pStyle w:val="Heading1"/>
      </w:pPr>
      <w:r>
        <w:t>19. Final rehearsal checklist</w:t>
      </w:r>
    </w:p>
    <w:p>
      <w:r>
        <w:t>Know the 3,940/985 split; explain the 12-versus-19 input distinction; calculate Precision@10 and Coverage@10 for a short list; interpret a confusion-matrix row; derive 90 fits; distinguish the three meanings of K; give the default/tuned accuracy figures; and explain why genre-aware 100% consistency is not independent quality evidence. Use the saved notebook tables rather than memorizing changing runtime numbers.</w:t>
      </w:r>
    </w:p>
    <w:sectPr w:rsidR="00FC693F" w:rsidRPr="0006063C" w:rsidSect="00034616">
      <w:headerReference w:type="default" r:id="rId9"/>
      <w:footerReference w:type="default" r:id="rId10"/>
      <w:pgSz w:w="11909" w:h="16834"/>
      <w:pgMar w:top="1037" w:right="1080" w:bottom="1037"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Presentation study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66477"/>
        <w:sz w:val="16"/>
      </w:rPr>
      <w:t>MUSIC RECOMMENDATION SYSTEM  |  Ashish Umrao (4315)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244C78"/>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244C78"/>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244C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Calibri" w:hAnsi="Calibri"/>
      <w:color w:val="244C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Calibri" w:hAnsi="Calibri"/>
      <w:i/>
      <w:iCs/>
      <w:color w:val="244C7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00" w:after="160"/>
      <w:ind w:left="173" w:right="86"/>
    </w:pPr>
    <w:rPr>
      <w:rFonts w:ascii="Consolas" w:hAnsi="Consolas"/>
      <w:color w:val="2432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Ashish Umrao (4315) — Evaluation, optimization and result analysis</dc:title>
  <dc:subject>Seven-genre music recommender: contribution and presentation guide</dc:subject>
  <dc:creator>Music Recommender Project Team</dc:creator>
  <cp:keywords>KNN, K-Means, Ward clustering, genre encoding, presentation</cp:keywords>
  <dc:description>generated by python-docx</dc:description>
  <cp:lastModifiedBy/>
  <cp:revision>1</cp:revision>
  <dcterms:created xsi:type="dcterms:W3CDTF">2013-12-23T23:15:00Z</dcterms:created>
  <dcterms:modified xsi:type="dcterms:W3CDTF">2013-12-23T23:15:00Z</dcterms:modified>
  <cp:category/>
</cp:coreProperties>
</file>