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25E2" w14:textId="77777777" w:rsidR="002E6BC2" w:rsidRPr="002E6BC2" w:rsidRDefault="002E6BC2" w:rsidP="002E6BC2">
      <w:pPr>
        <w:rPr>
          <w:lang w:val="en-US"/>
        </w:rPr>
      </w:pPr>
      <w:r w:rsidRPr="002E6BC2">
        <w:rPr>
          <w:lang w:val="en-US"/>
        </w:rPr>
        <w:t>Hi Ashish,</w:t>
      </w:r>
      <w:r w:rsidRPr="002E6BC2">
        <w:rPr>
          <w:lang w:val="en-US"/>
        </w:rPr>
        <w:br/>
        <w:t>Just to clarify my intent in the simplest possible way:</w:t>
      </w:r>
    </w:p>
    <w:p w14:paraId="4A861BAE" w14:textId="77777777" w:rsidR="002E6BC2" w:rsidRPr="002E6BC2" w:rsidRDefault="002E6BC2" w:rsidP="002E6BC2">
      <w:pPr>
        <w:rPr>
          <w:lang w:val="en-US"/>
        </w:rPr>
      </w:pPr>
      <w:r w:rsidRPr="002E6BC2">
        <w:rPr>
          <w:lang w:val="en-US"/>
        </w:rPr>
        <w:t xml:space="preserve">• The current BackOffice at </w:t>
      </w:r>
      <w:hyperlink r:id="rId5" w:tgtFrame="_new" w:history="1">
        <w:r w:rsidRPr="002E6BC2">
          <w:rPr>
            <w:rStyle w:val="Hyperlink"/>
            <w:lang w:val="en-US"/>
          </w:rPr>
          <w:t>https://backoffice.idbforge.be/nl</w:t>
        </w:r>
      </w:hyperlink>
      <w:r w:rsidRPr="002E6BC2">
        <w:rPr>
          <w:lang w:val="en-US"/>
        </w:rPr>
        <w:t xml:space="preserve"> is the </w:t>
      </w:r>
      <w:r w:rsidRPr="002E6BC2">
        <w:rPr>
          <w:b/>
          <w:bCs/>
          <w:lang w:val="en-US"/>
        </w:rPr>
        <w:t>Baseline</w:t>
      </w:r>
      <w:r w:rsidRPr="002E6BC2">
        <w:rPr>
          <w:lang w:val="en-US"/>
        </w:rPr>
        <w:t xml:space="preserve"> (as of </w:t>
      </w:r>
      <w:r w:rsidRPr="002E6BC2">
        <w:rPr>
          <w:b/>
          <w:bCs/>
          <w:lang w:val="en-US"/>
        </w:rPr>
        <w:t>[DATE]</w:t>
      </w:r>
      <w:r w:rsidRPr="002E6BC2">
        <w:rPr>
          <w:lang w:val="en-US"/>
        </w:rPr>
        <w:t>).</w:t>
      </w:r>
      <w:r w:rsidRPr="002E6BC2">
        <w:rPr>
          <w:lang w:val="en-US"/>
        </w:rPr>
        <w:br/>
        <w:t xml:space="preserve">• Except for the items explicitly listed in </w:t>
      </w:r>
      <w:r w:rsidRPr="002E6BC2">
        <w:rPr>
          <w:b/>
          <w:bCs/>
          <w:lang w:val="en-US"/>
        </w:rPr>
        <w:t>Scope 1 / Annexure 1 (AC codes)</w:t>
      </w:r>
      <w:r w:rsidRPr="002E6BC2">
        <w:rPr>
          <w:lang w:val="en-US"/>
        </w:rPr>
        <w:t>, the rest was not commented on because it is working.</w:t>
      </w:r>
      <w:r w:rsidRPr="002E6BC2">
        <w:rPr>
          <w:lang w:val="en-US"/>
        </w:rPr>
        <w:br/>
        <w:t>• Therefore, Scope 1 is strictly limited to fixing what is listed in Annexure 1 — nothing more.</w:t>
      </w:r>
    </w:p>
    <w:p w14:paraId="15E0AE1E" w14:textId="77777777" w:rsidR="002E6BC2" w:rsidRPr="002E6BC2" w:rsidRDefault="002E6BC2" w:rsidP="002E6BC2">
      <w:r w:rsidRPr="002E6BC2">
        <w:t xml:space="preserve">My only additional requirement is </w:t>
      </w:r>
      <w:r w:rsidRPr="002E6BC2">
        <w:rPr>
          <w:b/>
          <w:bCs/>
        </w:rPr>
        <w:t>non-regression</w:t>
      </w:r>
      <w:r w:rsidRPr="002E6BC2">
        <w:t>:</w:t>
      </w:r>
      <w:r w:rsidRPr="002E6BC2">
        <w:br/>
        <w:t>If code changes are made to fix Scope 1 items, it is not acceptable that parts which were working in the Baseline suddenly stop working. Any such regression should be treated as a defect and corrected at no extra cost.</w:t>
      </w:r>
    </w:p>
    <w:p w14:paraId="67846872" w14:textId="77777777" w:rsidR="002E6BC2" w:rsidRPr="002E6BC2" w:rsidRDefault="002E6BC2" w:rsidP="002E6BC2">
      <w:r w:rsidRPr="002E6BC2">
        <w:t xml:space="preserve">So in short: </w:t>
      </w:r>
      <w:r w:rsidRPr="002E6BC2">
        <w:rPr>
          <w:b/>
          <w:bCs/>
        </w:rPr>
        <w:t>Baseline (as-is) + Scope 1 fixes, without regressions.</w:t>
      </w:r>
    </w:p>
    <w:p w14:paraId="5DA7DC6B" w14:textId="77777777" w:rsidR="002E6BC2" w:rsidRPr="002E6BC2" w:rsidRDefault="002E6BC2" w:rsidP="002E6BC2">
      <w:r w:rsidRPr="002E6BC2">
        <w:pict w14:anchorId="329C7CD9">
          <v:rect id="_x0000_i1055" style="width:0;height:1.5pt" o:hralign="center" o:hrstd="t" o:hr="t" fillcolor="#a0a0a0" stroked="f"/>
        </w:pict>
      </w:r>
    </w:p>
    <w:p w14:paraId="0BBFCA25" w14:textId="77777777" w:rsidR="002E6BC2" w:rsidRPr="002E6BC2" w:rsidRDefault="002E6BC2" w:rsidP="002E6BC2">
      <w:r w:rsidRPr="002E6BC2">
        <w:rPr>
          <w:b/>
          <w:bCs/>
        </w:rPr>
        <w:t>Point 1 — Supersession (prior agreements / references) – replaced by Baseline &amp; Non-Regression (Scope 1):</w:t>
      </w:r>
      <w:r w:rsidRPr="002E6BC2">
        <w:br/>
        <w:t xml:space="preserve">The Parties acknowledge that the current BackOffice available at </w:t>
      </w:r>
      <w:hyperlink r:id="rId6" w:tgtFrame="_new" w:history="1">
        <w:r w:rsidRPr="002E6BC2">
          <w:rPr>
            <w:rStyle w:val="Hyperlink"/>
          </w:rPr>
          <w:t>https://backoffice.idbforge.be/nl</w:t>
        </w:r>
      </w:hyperlink>
      <w:r w:rsidRPr="002E6BC2">
        <w:t xml:space="preserve"> (the “Baseline”) is operational except for the specific items documented in </w:t>
      </w:r>
      <w:r w:rsidRPr="002E6BC2">
        <w:rPr>
          <w:b/>
          <w:bCs/>
        </w:rPr>
        <w:t>Scope 1 / Annexure 1</w:t>
      </w:r>
      <w:r w:rsidRPr="002E6BC2">
        <w:t>. The Services under Scope 1 are limited strictly to the changes required to resolve the Scope 1 items.</w:t>
      </w:r>
      <w:r w:rsidRPr="002E6BC2">
        <w:br/>
        <w:t>The Service Provider shall implement the Scope 1 changes in a manner that does not introduce regressions. For the avoidance of doubt, functionality that is working in the Baseline shall continue to work after the Scope 1 delivery and during the warranty period, except where a change is explicitly required by an AC code in Annexure 1.</w:t>
      </w:r>
      <w:r w:rsidRPr="002E6BC2">
        <w:br/>
        <w:t>Any regression introduced by the Service Provider shall be treated as a defect and corrected at no additional cost.</w:t>
      </w:r>
    </w:p>
    <w:p w14:paraId="57BA95AD" w14:textId="77777777" w:rsidR="002E6BC2" w:rsidRPr="002E6BC2" w:rsidRDefault="002E6BC2" w:rsidP="002E6BC2">
      <w:r w:rsidRPr="002E6BC2">
        <w:pict w14:anchorId="386E7277">
          <v:rect id="_x0000_i1056" style="width:0;height:1.5pt" o:hralign="center" o:hrstd="t" o:hr="t" fillcolor="#a0a0a0" stroked="f"/>
        </w:pict>
      </w:r>
    </w:p>
    <w:p w14:paraId="2C0CFC71" w14:textId="77777777" w:rsidR="002E6BC2" w:rsidRPr="002E6BC2" w:rsidRDefault="002E6BC2" w:rsidP="002E6BC2">
      <w:r w:rsidRPr="002E6BC2">
        <w:rPr>
          <w:b/>
          <w:bCs/>
        </w:rPr>
        <w:t>Point 4 &amp; 9 — Acceptance / Closure (no silence, with reminder):</w:t>
      </w:r>
      <w:r w:rsidRPr="002E6BC2">
        <w:br/>
        <w:t xml:space="preserve">If the Client does not respond within </w:t>
      </w:r>
      <w:r w:rsidRPr="002E6BC2">
        <w:rPr>
          <w:b/>
          <w:bCs/>
        </w:rPr>
        <w:t>10 Client Working Days (Europe/Brussels)</w:t>
      </w:r>
      <w:r w:rsidRPr="002E6BC2">
        <w:t xml:space="preserve">, the Provider will send a written reminder. If there is still no response within </w:t>
      </w:r>
      <w:r w:rsidRPr="002E6BC2">
        <w:rPr>
          <w:b/>
          <w:bCs/>
        </w:rPr>
        <w:t>5 additional Client Working Days</w:t>
      </w:r>
      <w:r w:rsidRPr="002E6BC2">
        <w:t xml:space="preserve"> after the reminder, the item is deemed accepted/closed, </w:t>
      </w:r>
      <w:r w:rsidRPr="002E6BC2">
        <w:rPr>
          <w:b/>
          <w:bCs/>
        </w:rPr>
        <w:t>provided no documented blocking issues were raised by the Client within the initial UAT window</w:t>
      </w:r>
      <w:r w:rsidRPr="002E6BC2">
        <w:t>.</w:t>
      </w:r>
    </w:p>
    <w:p w14:paraId="093D58CA" w14:textId="77777777" w:rsidR="002E6BC2" w:rsidRPr="002E6BC2" w:rsidRDefault="002E6BC2" w:rsidP="002E6BC2">
      <w:r w:rsidRPr="002E6BC2">
        <w:pict w14:anchorId="002A0CB6">
          <v:rect id="_x0000_i1057" style="width:0;height:1.5pt" o:hralign="center" o:hrstd="t" o:hr="t" fillcolor="#a0a0a0" stroked="f"/>
        </w:pict>
      </w:r>
    </w:p>
    <w:p w14:paraId="1183F9C7" w14:textId="77777777" w:rsidR="002E6BC2" w:rsidRPr="002E6BC2" w:rsidRDefault="002E6BC2" w:rsidP="002E6BC2">
      <w:r w:rsidRPr="002E6BC2">
        <w:rPr>
          <w:b/>
          <w:bCs/>
        </w:rPr>
        <w:t>Point 5 — Penalties (deduction &amp; sole remedy for delays):</w:t>
      </w:r>
      <w:r w:rsidRPr="002E6BC2">
        <w:br/>
        <w:t xml:space="preserve">Delay Penalty (delivery scenario): </w:t>
      </w:r>
      <w:r w:rsidRPr="002E6BC2">
        <w:rPr>
          <w:b/>
          <w:bCs/>
        </w:rPr>
        <w:t>1% per week of delay</w:t>
      </w:r>
      <w:r w:rsidRPr="002E6BC2">
        <w:t xml:space="preserve">, capped at </w:t>
      </w:r>
      <w:r w:rsidRPr="002E6BC2">
        <w:rPr>
          <w:b/>
          <w:bCs/>
        </w:rPr>
        <w:t>10%</w:t>
      </w:r>
      <w:r w:rsidRPr="002E6BC2">
        <w:t xml:space="preserve">, deductible from the </w:t>
      </w:r>
      <w:r w:rsidRPr="002E6BC2">
        <w:rPr>
          <w:b/>
          <w:bCs/>
        </w:rPr>
        <w:t>final payment</w:t>
      </w:r>
      <w:r w:rsidRPr="002E6BC2">
        <w:t xml:space="preserve"> (sole monetary remedy for delay).</w:t>
      </w:r>
      <w:r w:rsidRPr="002E6BC2">
        <w:br/>
        <w:t xml:space="preserve">Non-Completion / Termination for Cause: if the Agreement is terminated for cause due to </w:t>
      </w:r>
      <w:r w:rsidRPr="002E6BC2">
        <w:rPr>
          <w:b/>
          <w:bCs/>
        </w:rPr>
        <w:t>non-delivery / abandonment</w:t>
      </w:r>
      <w:r w:rsidRPr="002E6BC2">
        <w:t xml:space="preserve"> or </w:t>
      </w:r>
      <w:r w:rsidRPr="002E6BC2">
        <w:rPr>
          <w:b/>
          <w:bCs/>
        </w:rPr>
        <w:t>two consecutive rejections</w:t>
      </w:r>
      <w:r w:rsidRPr="002E6BC2">
        <w:t xml:space="preserve"> for failure to meet </w:t>
      </w:r>
      <w:r w:rsidRPr="002E6BC2">
        <w:rPr>
          <w:b/>
          <w:bCs/>
        </w:rPr>
        <w:t>Annexure 1 (AC codes)</w:t>
      </w:r>
      <w:r w:rsidRPr="002E6BC2">
        <w:t xml:space="preserve">, the penalty cap increases to </w:t>
      </w:r>
      <w:r w:rsidRPr="002E6BC2">
        <w:rPr>
          <w:b/>
          <w:bCs/>
        </w:rPr>
        <w:t>20%</w:t>
      </w:r>
      <w:r w:rsidRPr="002E6BC2">
        <w:t xml:space="preserve"> (as a non-completion fee), and becomes immediately deductible/set-off against any outstanding amounts or refundable if no amounts remain due.</w:t>
      </w:r>
      <w:r w:rsidRPr="002E6BC2">
        <w:br/>
        <w:t>10% cap for delays when the project completes.</w:t>
      </w:r>
      <w:r w:rsidRPr="002E6BC2">
        <w:br/>
        <w:t>20% cap only if termination for cause due to non-completion/non-delivery.</w:t>
      </w:r>
    </w:p>
    <w:p w14:paraId="0F120A35" w14:textId="77777777" w:rsidR="002E6BC2" w:rsidRPr="002E6BC2" w:rsidRDefault="002E6BC2" w:rsidP="002E6BC2">
      <w:r w:rsidRPr="002E6BC2">
        <w:pict w14:anchorId="68364E8C">
          <v:rect id="_x0000_i1058" style="width:0;height:1.5pt" o:hralign="center" o:hrstd="t" o:hr="t" fillcolor="#a0a0a0" stroked="f"/>
        </w:pict>
      </w:r>
    </w:p>
    <w:p w14:paraId="421E4E99" w14:textId="77777777" w:rsidR="002E6BC2" w:rsidRPr="002E6BC2" w:rsidRDefault="002E6BC2" w:rsidP="002E6BC2">
      <w:r w:rsidRPr="002E6BC2">
        <w:rPr>
          <w:b/>
          <w:bCs/>
        </w:rPr>
        <w:t>Point 7 — Third-party developers during active Scope 1:</w:t>
      </w:r>
      <w:r w:rsidRPr="002E6BC2">
        <w:br/>
        <w:t>During Scope 1, third-party work requires Provider’s written approval (not unreasonably withheld).</w:t>
      </w:r>
      <w:r w:rsidRPr="002E6BC2">
        <w:br/>
      </w:r>
      <w:r w:rsidRPr="002E6BC2">
        <w:lastRenderedPageBreak/>
        <w:t xml:space="preserve">Exception: for </w:t>
      </w:r>
      <w:r w:rsidRPr="002E6BC2">
        <w:rPr>
          <w:b/>
          <w:bCs/>
        </w:rPr>
        <w:t>Critical Issues (outage/data integrity/security)</w:t>
      </w:r>
      <w:r w:rsidRPr="002E6BC2">
        <w:t xml:space="preserve"> not mitigated within the </w:t>
      </w:r>
      <w:r w:rsidRPr="002E6BC2">
        <w:rPr>
          <w:b/>
          <w:bCs/>
        </w:rPr>
        <w:t>critical issue handling timeline defined in Point 8</w:t>
      </w:r>
      <w:r w:rsidRPr="002E6BC2">
        <w:t xml:space="preserve"> (acknowledge within 1 Client Working Day; mitigation within 2 Client Working Days or a written action plan), Client may perform emergency remediation with full documentation shared immediately.</w:t>
      </w:r>
    </w:p>
    <w:p w14:paraId="1FBA1807" w14:textId="77777777" w:rsidR="002E6BC2" w:rsidRPr="002E6BC2" w:rsidRDefault="002E6BC2" w:rsidP="002E6BC2">
      <w:r w:rsidRPr="002E6BC2">
        <w:pict w14:anchorId="0670460D">
          <v:rect id="_x0000_i1059" style="width:0;height:1.5pt" o:hralign="center" o:hrstd="t" o:hr="t" fillcolor="#a0a0a0" stroked="f"/>
        </w:pict>
      </w:r>
    </w:p>
    <w:p w14:paraId="41389338" w14:textId="77777777" w:rsidR="002E6BC2" w:rsidRPr="002E6BC2" w:rsidRDefault="002E6BC2" w:rsidP="002E6BC2">
      <w:r w:rsidRPr="002E6BC2">
        <w:rPr>
          <w:b/>
          <w:bCs/>
        </w:rPr>
        <w:t>Point 10 — Governing law / venue:</w:t>
      </w:r>
      <w:r w:rsidRPr="002E6BC2">
        <w:br/>
        <w:t>I agree arbitration is virtual and enforcement follows assets.</w:t>
      </w:r>
      <w:r w:rsidRPr="002E6BC2">
        <w:br/>
        <w:t xml:space="preserve">However, governing law still matters for interpretation. Let’s use a </w:t>
      </w:r>
      <w:r w:rsidRPr="002E6BC2">
        <w:rPr>
          <w:b/>
          <w:bCs/>
        </w:rPr>
        <w:t>neutral governing law (England &amp; Wales)</w:t>
      </w:r>
      <w:r w:rsidRPr="002E6BC2">
        <w:t xml:space="preserve"> with </w:t>
      </w:r>
      <w:r w:rsidRPr="002E6BC2">
        <w:rPr>
          <w:b/>
          <w:bCs/>
        </w:rPr>
        <w:t>virtual arbitration</w:t>
      </w:r>
      <w:r w:rsidRPr="002E6BC2">
        <w:t>. Enforcement remains in the defendant’s jurisdiction if required.</w:t>
      </w:r>
    </w:p>
    <w:p w14:paraId="4177EA34" w14:textId="38D731C1" w:rsidR="004F1FB1" w:rsidRPr="002E6BC2" w:rsidRDefault="004F1FB1" w:rsidP="002E6BC2"/>
    <w:sectPr w:rsidR="004F1FB1" w:rsidRPr="002E6B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B7253"/>
    <w:multiLevelType w:val="multilevel"/>
    <w:tmpl w:val="375A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3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3E"/>
    <w:rsid w:val="0016416C"/>
    <w:rsid w:val="002E6BC2"/>
    <w:rsid w:val="004210E5"/>
    <w:rsid w:val="004C2B68"/>
    <w:rsid w:val="004F1FB1"/>
    <w:rsid w:val="00A5643E"/>
    <w:rsid w:val="00AB289E"/>
    <w:rsid w:val="00AD3E8D"/>
    <w:rsid w:val="00CF1D8E"/>
    <w:rsid w:val="00D4725E"/>
    <w:rsid w:val="00F7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B3E9C"/>
  <w15:chartTrackingRefBased/>
  <w15:docId w15:val="{96238B98-8107-4DBC-8962-49238690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5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5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643E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643E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643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643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643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64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643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643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643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643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64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5643E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5643E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semiHidden/>
    <w:unhideWhenUsed/>
    <w:rsid w:val="00F74F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ckoffice.idbforge.be/nl" TargetMode="External"/><Relationship Id="rId5" Type="http://schemas.openxmlformats.org/officeDocument/2006/relationships/hyperlink" Target="https://backoffice.idbforge.be/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496</Words>
  <Characters>3092</Characters>
  <Application>Microsoft Office Word</Application>
  <DocSecurity>0</DocSecurity>
  <Lines>77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Erik</cp:lastModifiedBy>
  <cp:revision>5</cp:revision>
  <dcterms:created xsi:type="dcterms:W3CDTF">2026-01-20T13:16:00Z</dcterms:created>
  <dcterms:modified xsi:type="dcterms:W3CDTF">2026-01-20T14:04:00Z</dcterms:modified>
</cp:coreProperties>
</file>