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</w:p>
    <w:p w14:paraId="0B74F5A4" w14:textId="6C5BF358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D53E36">
        <w:rPr>
          <w:rFonts w:cs="LMRoman10-Regular"/>
          <w:b/>
        </w:rPr>
        <w:t>2</w:t>
      </w:r>
      <w:r w:rsidR="00A41358">
        <w:rPr>
          <w:rFonts w:cs="LMRoman10-Regular"/>
          <w:b/>
        </w:rPr>
        <w:t>.</w:t>
      </w:r>
      <w:r w:rsidRPr="00152452">
        <w:rPr>
          <w:rFonts w:cs="LMRoman10-Regular"/>
          <w:b/>
        </w:rPr>
        <w:t>1</w:t>
      </w:r>
    </w:p>
    <w:p w14:paraId="210046A2" w14:textId="77777777" w:rsidR="00EF1C5B" w:rsidRPr="00152452" w:rsidRDefault="00EF1C5B" w:rsidP="00EF1C5B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2A27538" w14:textId="334E9F48" w:rsidR="00EF1C5B" w:rsidRDefault="00EF1C5B" w:rsidP="00EF1C5B">
      <w:pPr>
        <w:autoSpaceDE w:val="0"/>
        <w:autoSpaceDN w:val="0"/>
        <w:adjustRightInd w:val="0"/>
        <w:rPr>
          <w:rFonts w:cs="LMRoman10-Regular"/>
        </w:rPr>
      </w:pPr>
      <w:r w:rsidRPr="00152452">
        <w:rPr>
          <w:rFonts w:cs="LMRoman10-Regular"/>
        </w:rPr>
        <w:t>Describe a situation or problem from your job, everyday life, current events, etc., for which a classification model would be appropriate. List some (up to 5) predictors that you might use.</w:t>
      </w:r>
    </w:p>
    <w:p w14:paraId="6A415A68" w14:textId="77777777" w:rsidR="00C3093A" w:rsidRPr="00C3093A" w:rsidRDefault="00C3093A" w:rsidP="00C3093A">
      <w:pPr>
        <w:pStyle w:val="Heading1"/>
        <w:numPr>
          <w:ilvl w:val="0"/>
          <w:numId w:val="0"/>
        </w:numPr>
        <w:ind w:left="360"/>
      </w:pPr>
    </w:p>
    <w:p w14:paraId="47DCFD2F" w14:textId="668363DE" w:rsidR="00C3093A" w:rsidRDefault="00C3093A" w:rsidP="00C3093A">
      <w:pPr>
        <w:pStyle w:val="Heading1"/>
        <w:rPr>
          <w:b w:val="0"/>
          <w:bCs/>
          <w:color w:val="4472C4" w:themeColor="accent1"/>
        </w:rPr>
      </w:pPr>
      <w:r>
        <w:rPr>
          <w:b w:val="0"/>
          <w:bCs/>
          <w:color w:val="4472C4" w:themeColor="accent1"/>
        </w:rPr>
        <w:t xml:space="preserve">Classification models find use cases across a spectrum of Credit Risk functions. A typical example being classifying a particular transaction as risky or otherwise basis which it is either declined or authorized. </w:t>
      </w:r>
      <w:r w:rsidR="00FC198E">
        <w:rPr>
          <w:b w:val="0"/>
          <w:bCs/>
          <w:color w:val="4472C4" w:themeColor="accent1"/>
        </w:rPr>
        <w:t>Here risk implies that the individual might not be able to make the required payments in the future</w:t>
      </w:r>
      <w:r w:rsidR="004D37A0">
        <w:rPr>
          <w:b w:val="0"/>
          <w:bCs/>
          <w:color w:val="4472C4" w:themeColor="accent1"/>
        </w:rPr>
        <w:t xml:space="preserve">, and therefore transactions made are </w:t>
      </w:r>
      <w:proofErr w:type="gramStart"/>
      <w:r w:rsidR="004D37A0">
        <w:rPr>
          <w:b w:val="0"/>
          <w:bCs/>
          <w:color w:val="4472C4" w:themeColor="accent1"/>
        </w:rPr>
        <w:t>more riskier</w:t>
      </w:r>
      <w:proofErr w:type="gramEnd"/>
      <w:r w:rsidR="004D37A0">
        <w:rPr>
          <w:b w:val="0"/>
          <w:bCs/>
          <w:color w:val="4472C4" w:themeColor="accent1"/>
        </w:rPr>
        <w:t>.</w:t>
      </w:r>
    </w:p>
    <w:p w14:paraId="00A72FC2" w14:textId="28DFDA9A" w:rsidR="00C3093A" w:rsidRDefault="00C3093A" w:rsidP="00C3093A"/>
    <w:p w14:paraId="2ED21778" w14:textId="3105E2B2" w:rsidR="00C3093A" w:rsidRDefault="00C3093A" w:rsidP="00C3093A">
      <w:pPr>
        <w:pStyle w:val="Heading1"/>
        <w:numPr>
          <w:ilvl w:val="0"/>
          <w:numId w:val="0"/>
        </w:numPr>
        <w:ind w:left="360"/>
        <w:rPr>
          <w:b w:val="0"/>
          <w:bCs/>
          <w:color w:val="4472C4" w:themeColor="accent1"/>
        </w:rPr>
      </w:pPr>
      <w:r w:rsidRPr="00C3093A">
        <w:rPr>
          <w:color w:val="4472C4" w:themeColor="accent1"/>
        </w:rPr>
        <w:t>Objective Function</w:t>
      </w:r>
      <w:r>
        <w:rPr>
          <w:color w:val="4472C4" w:themeColor="accent1"/>
        </w:rPr>
        <w:t xml:space="preserve"> (Y):</w:t>
      </w:r>
      <w:r>
        <w:rPr>
          <w:b w:val="0"/>
          <w:bCs/>
          <w:color w:val="4472C4" w:themeColor="accent1"/>
        </w:rPr>
        <w:t xml:space="preserve"> To classify individual transactions as risky (decline) or not</w:t>
      </w:r>
    </w:p>
    <w:p w14:paraId="49D686E1" w14:textId="6E3786E2" w:rsidR="00C3093A" w:rsidRPr="003F164E" w:rsidRDefault="00C3093A" w:rsidP="00C3093A">
      <w:pPr>
        <w:rPr>
          <w:rFonts w:ascii="Calibri" w:hAnsi="Calibri"/>
          <w:bCs/>
          <w:color w:val="4472C4" w:themeColor="accent1"/>
        </w:rPr>
      </w:pPr>
      <w:r>
        <w:rPr>
          <w:rFonts w:ascii="Calibri" w:hAnsi="Calibri"/>
          <w:b/>
          <w:color w:val="4472C4" w:themeColor="accent1"/>
        </w:rPr>
        <w:t xml:space="preserve">       Pred</w:t>
      </w:r>
      <w:r w:rsidRPr="003F164E">
        <w:rPr>
          <w:rFonts w:ascii="Calibri" w:hAnsi="Calibri"/>
          <w:b/>
          <w:color w:val="4472C4" w:themeColor="accent1"/>
        </w:rPr>
        <w:t>icto</w:t>
      </w:r>
      <w:r>
        <w:rPr>
          <w:rFonts w:ascii="Calibri" w:hAnsi="Calibri"/>
          <w:b/>
          <w:color w:val="4472C4" w:themeColor="accent1"/>
        </w:rPr>
        <w:t>r Variables</w:t>
      </w:r>
      <w:r w:rsidR="003F164E">
        <w:rPr>
          <w:rFonts w:ascii="Calibri" w:hAnsi="Calibri"/>
          <w:b/>
          <w:color w:val="4472C4" w:themeColor="accent1"/>
        </w:rPr>
        <w:t xml:space="preserve"> </w:t>
      </w:r>
      <w:r>
        <w:rPr>
          <w:rFonts w:ascii="Calibri" w:hAnsi="Calibri"/>
          <w:b/>
          <w:color w:val="4472C4" w:themeColor="accent1"/>
        </w:rPr>
        <w:t xml:space="preserve">(Xi’s): </w:t>
      </w:r>
      <w:r w:rsidR="003F164E" w:rsidRPr="003F164E">
        <w:rPr>
          <w:rFonts w:ascii="Calibri" w:hAnsi="Calibri"/>
          <w:bCs/>
          <w:color w:val="4472C4" w:themeColor="accent1"/>
        </w:rPr>
        <w:t>Some</w:t>
      </w:r>
      <w:r w:rsidR="003F164E">
        <w:rPr>
          <w:rFonts w:ascii="Calibri" w:hAnsi="Calibri"/>
          <w:b/>
          <w:color w:val="4472C4" w:themeColor="accent1"/>
        </w:rPr>
        <w:t xml:space="preserve"> </w:t>
      </w:r>
      <w:r w:rsidR="003F164E">
        <w:rPr>
          <w:rFonts w:ascii="Calibri" w:hAnsi="Calibri"/>
          <w:bCs/>
          <w:color w:val="4472C4" w:themeColor="accent1"/>
        </w:rPr>
        <w:t>of the key predictor variables are:</w:t>
      </w:r>
    </w:p>
    <w:p w14:paraId="69FD15A4" w14:textId="77777777" w:rsidR="003F164E" w:rsidRPr="003F164E" w:rsidRDefault="003F164E" w:rsidP="003F164E">
      <w:pPr>
        <w:pStyle w:val="Heading1"/>
        <w:numPr>
          <w:ilvl w:val="0"/>
          <w:numId w:val="0"/>
        </w:numPr>
        <w:ind w:left="360"/>
      </w:pPr>
    </w:p>
    <w:p w14:paraId="40292AFB" w14:textId="7ED2573F" w:rsidR="00C3093A" w:rsidRPr="00B749EE" w:rsidRDefault="003F164E" w:rsidP="00C3093A">
      <w:pPr>
        <w:pStyle w:val="Heading2"/>
        <w:rPr>
          <w:b w:val="0"/>
          <w:bCs w:val="0"/>
          <w:i/>
          <w:iCs/>
          <w:color w:val="4472C4" w:themeColor="accent1"/>
        </w:rPr>
      </w:pPr>
      <w:r w:rsidRPr="008D4A3F">
        <w:rPr>
          <w:b w:val="0"/>
          <w:bCs w:val="0"/>
          <w:color w:val="4472C4" w:themeColor="accent1"/>
          <w:u w:val="single"/>
        </w:rPr>
        <w:t>Past Delinquency</w:t>
      </w:r>
      <w:r>
        <w:rPr>
          <w:b w:val="0"/>
          <w:bCs w:val="0"/>
          <w:i/>
          <w:iCs/>
          <w:color w:val="4472C4" w:themeColor="accent1"/>
        </w:rPr>
        <w:t xml:space="preserve">: </w:t>
      </w:r>
      <w:r>
        <w:rPr>
          <w:b w:val="0"/>
          <w:bCs w:val="0"/>
          <w:color w:val="4472C4" w:themeColor="accent1"/>
        </w:rPr>
        <w:t xml:space="preserve">Delinquency </w:t>
      </w:r>
      <w:r w:rsidR="00B749EE">
        <w:rPr>
          <w:b w:val="0"/>
          <w:bCs w:val="0"/>
          <w:color w:val="4472C4" w:themeColor="accent1"/>
        </w:rPr>
        <w:t>implies that the individual was unable to keep up on his monthly payments previously and missed on his obligated payments. This is a key marker for credit risk, and past delinquent behavior hints towards potential future risk.</w:t>
      </w:r>
    </w:p>
    <w:p w14:paraId="666A0D49" w14:textId="77777777" w:rsidR="00B749EE" w:rsidRPr="00B749EE" w:rsidRDefault="00B749EE" w:rsidP="00B749EE">
      <w:pPr>
        <w:pStyle w:val="Heading2"/>
        <w:numPr>
          <w:ilvl w:val="0"/>
          <w:numId w:val="0"/>
        </w:numPr>
        <w:ind w:left="720"/>
        <w:rPr>
          <w:b w:val="0"/>
          <w:bCs w:val="0"/>
          <w:i/>
          <w:iCs/>
          <w:color w:val="4472C4" w:themeColor="accent1"/>
        </w:rPr>
      </w:pPr>
    </w:p>
    <w:p w14:paraId="3E1F1343" w14:textId="5066EA16" w:rsidR="008D4A3F" w:rsidRPr="002039B1" w:rsidRDefault="00B749EE" w:rsidP="002039B1">
      <w:pPr>
        <w:pStyle w:val="Heading2"/>
        <w:rPr>
          <w:b w:val="0"/>
          <w:bCs w:val="0"/>
          <w:i/>
          <w:iCs/>
          <w:color w:val="4472C4" w:themeColor="accent1"/>
        </w:rPr>
      </w:pPr>
      <w:r w:rsidRPr="008D4A3F">
        <w:rPr>
          <w:b w:val="0"/>
          <w:bCs w:val="0"/>
          <w:color w:val="4472C4" w:themeColor="accent1"/>
          <w:u w:val="single"/>
        </w:rPr>
        <w:t>Credit Utilization</w:t>
      </w:r>
      <w:r>
        <w:rPr>
          <w:b w:val="0"/>
          <w:bCs w:val="0"/>
          <w:i/>
          <w:iCs/>
          <w:color w:val="4472C4" w:themeColor="accent1"/>
        </w:rPr>
        <w:t xml:space="preserve">: </w:t>
      </w:r>
      <w:r w:rsidRPr="002039B1">
        <w:rPr>
          <w:b w:val="0"/>
          <w:bCs w:val="0"/>
          <w:color w:val="4472C4" w:themeColor="accent1"/>
        </w:rPr>
        <w:t xml:space="preserve">Credit Utilization is defined as the ratio of </w:t>
      </w:r>
      <w:r w:rsidR="008D4A3F" w:rsidRPr="002039B1">
        <w:rPr>
          <w:b w:val="0"/>
          <w:bCs w:val="0"/>
          <w:color w:val="4472C4" w:themeColor="accent1"/>
        </w:rPr>
        <w:t xml:space="preserve">current balance to overall credit limit accorded to the individual. Suppose </w:t>
      </w:r>
      <w:proofErr w:type="spellStart"/>
      <w:proofErr w:type="gramStart"/>
      <w:r w:rsidR="008D4A3F" w:rsidRPr="002039B1">
        <w:rPr>
          <w:b w:val="0"/>
          <w:bCs w:val="0"/>
          <w:color w:val="4472C4" w:themeColor="accent1"/>
        </w:rPr>
        <w:t>a</w:t>
      </w:r>
      <w:proofErr w:type="spellEnd"/>
      <w:proofErr w:type="gramEnd"/>
      <w:r w:rsidR="008D4A3F" w:rsidRPr="002039B1">
        <w:rPr>
          <w:b w:val="0"/>
          <w:bCs w:val="0"/>
          <w:color w:val="4472C4" w:themeColor="accent1"/>
        </w:rPr>
        <w:t xml:space="preserve"> individual has a credit line of $10,000 and he already has utilized $ 9k of it. This individual is generally prone to more risk as compared to the individual who only has utilized say $ 2k of his $ 10k line</w:t>
      </w:r>
    </w:p>
    <w:p w14:paraId="77922EEC" w14:textId="77777777" w:rsidR="008D4A3F" w:rsidRDefault="008D4A3F" w:rsidP="008D4A3F">
      <w:pPr>
        <w:pStyle w:val="Heading2"/>
        <w:numPr>
          <w:ilvl w:val="0"/>
          <w:numId w:val="0"/>
        </w:numPr>
        <w:ind w:left="720"/>
        <w:rPr>
          <w:b w:val="0"/>
          <w:bCs w:val="0"/>
          <w:i/>
          <w:iCs/>
          <w:color w:val="4472C4" w:themeColor="accent1"/>
        </w:rPr>
      </w:pPr>
    </w:p>
    <w:p w14:paraId="042108E2" w14:textId="172F3420" w:rsidR="00B749EE" w:rsidRPr="00FC198E" w:rsidRDefault="00B749EE" w:rsidP="00C3093A">
      <w:pPr>
        <w:pStyle w:val="Heading2"/>
        <w:rPr>
          <w:b w:val="0"/>
          <w:bCs w:val="0"/>
          <w:i/>
          <w:iCs/>
          <w:color w:val="4472C4" w:themeColor="accent1"/>
        </w:rPr>
      </w:pPr>
      <w:r w:rsidRPr="00FC198E">
        <w:rPr>
          <w:b w:val="0"/>
          <w:bCs w:val="0"/>
          <w:color w:val="4472C4" w:themeColor="accent1"/>
          <w:u w:val="single"/>
        </w:rPr>
        <w:t>Current Debt to Income ratio</w:t>
      </w:r>
      <w:r w:rsidR="008D4A3F">
        <w:rPr>
          <w:b w:val="0"/>
          <w:bCs w:val="0"/>
          <w:i/>
          <w:iCs/>
          <w:color w:val="4472C4" w:themeColor="accent1"/>
        </w:rPr>
        <w:t xml:space="preserve">: </w:t>
      </w:r>
      <w:r w:rsidR="008D4A3F">
        <w:rPr>
          <w:b w:val="0"/>
          <w:bCs w:val="0"/>
          <w:color w:val="4472C4" w:themeColor="accent1"/>
        </w:rPr>
        <w:t>This is a measure of Income to Debt Capacity</w:t>
      </w:r>
      <w:r w:rsidR="00FC198E">
        <w:rPr>
          <w:b w:val="0"/>
          <w:bCs w:val="0"/>
          <w:color w:val="4472C4" w:themeColor="accent1"/>
        </w:rPr>
        <w:t xml:space="preserve"> of the individual. In other words, it stacks up the overall debt obligations of the individual across mortgage, auto loan, credit cards etc., against his total income. If a larger part of an individual’s income is directed towards his debt payment, than he/she again might be more susceptible to miss payments in the future and hence is </w:t>
      </w:r>
      <w:r w:rsidR="002039B1">
        <w:rPr>
          <w:b w:val="0"/>
          <w:bCs w:val="0"/>
          <w:color w:val="4472C4" w:themeColor="accent1"/>
        </w:rPr>
        <w:t>riskier</w:t>
      </w:r>
      <w:r w:rsidR="00FC198E">
        <w:rPr>
          <w:b w:val="0"/>
          <w:bCs w:val="0"/>
          <w:color w:val="4472C4" w:themeColor="accent1"/>
        </w:rPr>
        <w:t>.</w:t>
      </w:r>
    </w:p>
    <w:p w14:paraId="4B316A8F" w14:textId="77777777" w:rsidR="00FC198E" w:rsidRDefault="00FC198E" w:rsidP="00FC198E">
      <w:pPr>
        <w:pStyle w:val="Heading2"/>
        <w:numPr>
          <w:ilvl w:val="0"/>
          <w:numId w:val="0"/>
        </w:numPr>
        <w:ind w:left="720"/>
        <w:rPr>
          <w:b w:val="0"/>
          <w:bCs w:val="0"/>
          <w:i/>
          <w:iCs/>
          <w:color w:val="4472C4" w:themeColor="accent1"/>
        </w:rPr>
      </w:pPr>
    </w:p>
    <w:p w14:paraId="58477BFC" w14:textId="55C3D90B" w:rsidR="00B749EE" w:rsidRPr="004D37A0" w:rsidRDefault="004D37A0" w:rsidP="00C3093A">
      <w:pPr>
        <w:pStyle w:val="Heading2"/>
        <w:rPr>
          <w:b w:val="0"/>
          <w:bCs w:val="0"/>
          <w:i/>
          <w:iCs/>
          <w:color w:val="4472C4" w:themeColor="accent1"/>
          <w:u w:val="single"/>
        </w:rPr>
      </w:pPr>
      <w:r w:rsidRPr="004D37A0">
        <w:rPr>
          <w:b w:val="0"/>
          <w:bCs w:val="0"/>
          <w:color w:val="4472C4" w:themeColor="accent1"/>
          <w:u w:val="single"/>
        </w:rPr>
        <w:t>Amount of Transaction</w:t>
      </w:r>
      <w:r>
        <w:rPr>
          <w:b w:val="0"/>
          <w:bCs w:val="0"/>
          <w:color w:val="4472C4" w:themeColor="accent1"/>
          <w:u w:val="single"/>
        </w:rPr>
        <w:t xml:space="preserve">: </w:t>
      </w:r>
      <w:r>
        <w:rPr>
          <w:b w:val="0"/>
          <w:bCs w:val="0"/>
          <w:color w:val="4472C4" w:themeColor="accent1"/>
        </w:rPr>
        <w:t>This is the dollar amount of the transaction. Intuitively a transaction of $20k is more risky than $5, since even if the individual misses his payment, the hit taken by the firm is restricted to only $5.</w:t>
      </w:r>
    </w:p>
    <w:p w14:paraId="761D23AB" w14:textId="77777777" w:rsidR="00C3093A" w:rsidRPr="00C3093A" w:rsidRDefault="00C3093A" w:rsidP="00C3093A">
      <w:pPr>
        <w:pStyle w:val="Heading1"/>
        <w:numPr>
          <w:ilvl w:val="0"/>
          <w:numId w:val="0"/>
        </w:numPr>
        <w:ind w:left="360"/>
      </w:pPr>
    </w:p>
    <w:p w14:paraId="3E9B3881" w14:textId="63D37DDC" w:rsidR="00C3093A" w:rsidRDefault="00C3093A" w:rsidP="00C3093A"/>
    <w:p w14:paraId="43904853" w14:textId="1133651B" w:rsidR="00C3093A" w:rsidRDefault="00C3093A" w:rsidP="00C3093A">
      <w:pPr>
        <w:pStyle w:val="Heading1"/>
      </w:pPr>
    </w:p>
    <w:p w14:paraId="7BBA8530" w14:textId="3D946E1C" w:rsidR="00C3093A" w:rsidRDefault="00C3093A" w:rsidP="00C3093A"/>
    <w:p w14:paraId="025102C4" w14:textId="77777777" w:rsidR="00C3093A" w:rsidRPr="00C3093A" w:rsidRDefault="00C3093A" w:rsidP="00C3093A">
      <w:pPr>
        <w:pStyle w:val="Heading1"/>
      </w:pPr>
    </w:p>
    <w:p w14:paraId="4D7799F1" w14:textId="77777777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</w:p>
    <w:sectPr w:rsidR="00EF1C5B" w:rsidRPr="00152452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A8023" w14:textId="77777777" w:rsidR="00BF6788" w:rsidRDefault="00BF6788" w:rsidP="007C2DDA">
      <w:r>
        <w:separator/>
      </w:r>
    </w:p>
  </w:endnote>
  <w:endnote w:type="continuationSeparator" w:id="0">
    <w:p w14:paraId="6F5626B9" w14:textId="77777777" w:rsidR="00BF6788" w:rsidRDefault="00BF6788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D85F4" w14:textId="77777777" w:rsidR="00BF6788" w:rsidRDefault="00BF6788" w:rsidP="007C2DDA">
      <w:r>
        <w:separator/>
      </w:r>
    </w:p>
  </w:footnote>
  <w:footnote w:type="continuationSeparator" w:id="0">
    <w:p w14:paraId="2E78AA97" w14:textId="77777777" w:rsidR="00BF6788" w:rsidRDefault="00BF6788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6B2B98F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643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46771">
    <w:abstractNumId w:val="1"/>
  </w:num>
  <w:num w:numId="2" w16cid:durableId="653294776">
    <w:abstractNumId w:val="3"/>
    <w:lvlOverride w:ilvl="1">
      <w:lvl w:ilvl="1">
        <w:start w:val="1"/>
        <w:numFmt w:val="upperLetter"/>
        <w:pStyle w:val="Heading2"/>
        <w:lvlText w:val="%2."/>
        <w:lvlJc w:val="left"/>
        <w:pPr>
          <w:ind w:left="643" w:hanging="360"/>
        </w:pPr>
        <w:rPr>
          <w:rFonts w:ascii="Calibri" w:hAnsi="Calibri" w:hint="default"/>
          <w:b/>
          <w:i w:val="0"/>
          <w:caps/>
          <w:color w:val="4472C4" w:themeColor="accent1"/>
          <w:sz w:val="22"/>
        </w:rPr>
      </w:lvl>
    </w:lvlOverride>
  </w:num>
  <w:num w:numId="3" w16cid:durableId="1096947677">
    <w:abstractNumId w:val="0"/>
  </w:num>
  <w:num w:numId="4" w16cid:durableId="49160063">
    <w:abstractNumId w:val="6"/>
  </w:num>
  <w:num w:numId="5" w16cid:durableId="584997026">
    <w:abstractNumId w:val="4"/>
  </w:num>
  <w:num w:numId="6" w16cid:durableId="21783325">
    <w:abstractNumId w:val="2"/>
  </w:num>
  <w:num w:numId="7" w16cid:durableId="1300458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52CD8"/>
    <w:rsid w:val="000E6A6E"/>
    <w:rsid w:val="000F2C52"/>
    <w:rsid w:val="001D303C"/>
    <w:rsid w:val="001E6D3F"/>
    <w:rsid w:val="002039B1"/>
    <w:rsid w:val="002C19B7"/>
    <w:rsid w:val="00374703"/>
    <w:rsid w:val="003F164E"/>
    <w:rsid w:val="00421F4C"/>
    <w:rsid w:val="0047769D"/>
    <w:rsid w:val="004D37A0"/>
    <w:rsid w:val="00630D96"/>
    <w:rsid w:val="006E4A3A"/>
    <w:rsid w:val="0074454E"/>
    <w:rsid w:val="00792050"/>
    <w:rsid w:val="007C2DDA"/>
    <w:rsid w:val="0084754E"/>
    <w:rsid w:val="008D4A3F"/>
    <w:rsid w:val="009C0EC7"/>
    <w:rsid w:val="00A41358"/>
    <w:rsid w:val="00A54DB6"/>
    <w:rsid w:val="00A7181B"/>
    <w:rsid w:val="00A96B88"/>
    <w:rsid w:val="00B65983"/>
    <w:rsid w:val="00B749EE"/>
    <w:rsid w:val="00BF6788"/>
    <w:rsid w:val="00C2727E"/>
    <w:rsid w:val="00C3093A"/>
    <w:rsid w:val="00C30ADC"/>
    <w:rsid w:val="00C45616"/>
    <w:rsid w:val="00CE089B"/>
    <w:rsid w:val="00D04308"/>
    <w:rsid w:val="00D31C83"/>
    <w:rsid w:val="00D53E36"/>
    <w:rsid w:val="00D71DFC"/>
    <w:rsid w:val="00DD3C7F"/>
    <w:rsid w:val="00E926D2"/>
    <w:rsid w:val="00ED0012"/>
    <w:rsid w:val="00EF1C5B"/>
    <w:rsid w:val="00F202F8"/>
    <w:rsid w:val="00FC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7AE4D8CB-107E-3847-B576-5C67127A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unhideWhenUsed/>
    <w:qFormat/>
    <w:rsid w:val="007C2DDA"/>
    <w:pPr>
      <w:keepNext/>
      <w:keepLines/>
      <w:numPr>
        <w:ilvl w:val="1"/>
      </w:numPr>
      <w:ind w:left="720"/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Ashish Dhiman</cp:lastModifiedBy>
  <cp:revision>6</cp:revision>
  <dcterms:created xsi:type="dcterms:W3CDTF">2018-01-03T15:43:00Z</dcterms:created>
  <dcterms:modified xsi:type="dcterms:W3CDTF">2022-08-28T15:16:00Z</dcterms:modified>
</cp:coreProperties>
</file>