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200"/>
        <w:jc w:val="center"/>
      </w:pPr>
      <w:r>
        <w:rPr>
          <w:b/>
          <w:bCs/>
          <w:color w:val="595959"/>
          <w:sz w:val="26"/>
          <w:szCs w:val="26"/>
        </w:rPr>
        <w:t xml:space="preserve">NEXTGENBI PLATFORM</w:t>
      </w:r>
    </w:p>
    <w:p>
      <w:pPr>
        <w:spacing w:before="200"/>
        <w:jc w:val="center"/>
      </w:pPr>
      <w:r>
        <w:rPr>
          <w:b/>
          <w:bCs/>
          <w:color w:val="1F3864"/>
          <w:sz w:val="48"/>
          <w:szCs w:val="48"/>
        </w:rPr>
        <w:t xml:space="preserve">Guest Developer Governance Standard</w:t>
      </w:r>
    </w:p>
    <w:p>
      <w:pPr>
        <w:spacing w:after="600" w:before="160"/>
        <w:jc w:val="center"/>
      </w:pPr>
      <w:r>
        <w:rPr>
          <w:i/>
          <w:iCs/>
          <w:color w:val="2E5395"/>
          <w:sz w:val="22"/>
          <w:szCs w:val="22"/>
        </w:rPr>
        <w:t xml:space="preserve">Expectations, Access Boundaries, and Handoff Requirements for Non-Employee Contributors on Azure Databricks / Unity Catalog</w:t>
      </w:r>
    </w:p>
    <w:p>
      <w:pPr>
        <w:spacing w:before="800"/>
        <w:jc w:val="center"/>
      </w:pPr>
      <w:r>
        <w:rPr>
          <w:b/>
          <w:bCs/>
          <w:color w:val="C00000"/>
          <w:sz w:val="20"/>
          <w:szCs w:val="20"/>
        </w:rPr>
        <w:t xml:space="preserve">Owning Principle</w:t>
      </w:r>
    </w:p>
    <w:p>
      <w:pPr>
        <w:spacing w:after="800"/>
        <w:jc w:val="center"/>
      </w:pPr>
      <w:r>
        <w:rPr>
          <w:i/>
          <w:iCs/>
          <w:color w:val="000000"/>
          <w:sz w:val="21"/>
          <w:szCs w:val="21"/>
        </w:rPr>
        <w:t xml:space="preserve">Guests build. The Platform owns the risk. Every privilege granted to a guest is a liability the Platform Lead carries after the guest is gone.</w:t>
      </w:r>
    </w:p>
    <w:p>
      <w:pPr>
        <w:spacing w:before="1600"/>
        <w:jc w:val="center"/>
      </w:pPr>
      <w:r>
        <w:rPr>
          <w:color w:val="595959"/>
          <w:sz w:val="19"/>
          <w:szCs w:val="19"/>
        </w:rPr>
        <w:t xml:space="preserve">Document Owner: Tech Lead, Data Engineering (DTS) — NextGenBI</w:t>
      </w:r>
    </w:p>
    <w:p>
      <w:pPr>
        <w:jc w:val="center"/>
      </w:pPr>
      <w:r>
        <w:rPr>
          <w:color w:val="595959"/>
          <w:sz w:val="19"/>
          <w:szCs w:val="19"/>
        </w:rPr>
        <w:t xml:space="preserve">Scope: Dev / Dev-Shared / UAT / Prod Databricks workspaces, Unity Catalog, GitHub Enterprise CI-CD</w:t>
      </w:r>
    </w:p>
    <w:p>
      <w:pPr>
        <w:spacing w:before="100"/>
        <w:jc w:val="center"/>
      </w:pPr>
      <w:r>
        <w:rPr>
          <w:color w:val="595959"/>
          <w:sz w:val="19"/>
          <w:szCs w:val="19"/>
        </w:rPr>
        <w:t xml:space="preserve">Version 1.0</w:t>
      </w:r>
    </w:p>
    <w:p>
      <w:r>
        <w:br w:type="page"/>
      </w:r>
    </w:p>
    <w:p>
      <w:pPr>
        <w:sectPr>
          <w:pgSz w:w="12240" w:h="15840" w:orient="portrait"/>
          <w:pgMar w:top="1440" w:right="1440" w:bottom="1440" w:left="1440" w:header="708" w:footer="708" w:gutter="0"/>
          <w:pgNumType/>
          <w:docGrid w:linePitch="360"/>
        </w:sectPr>
      </w:pPr>
    </w:p>
    <w:p>
      <w:pPr>
        <w:pStyle w:val="Heading1"/>
        <w:pBdr>
          <w:bottom w:val="single" w:color="2E5395" w:sz="6" w:space="4"/>
        </w:pBdr>
        <w:spacing w:after="200" w:before="400"/>
      </w:pPr>
      <w:r>
        <w:rPr>
          <w:b/>
          <w:bCs/>
          <w:color w:val="1F3864"/>
          <w:sz w:val="28"/>
          <w:szCs w:val="28"/>
        </w:rPr>
        <w:t xml:space="preserve">1. Purpose and Guiding Principle</w:t>
      </w:r>
    </w:p>
    <w:p>
      <w:pPr>
        <w:spacing w:after="140" w:line="276"/>
      </w:pPr>
      <w:r>
        <w:rPr>
          <w:sz w:val="21"/>
          <w:szCs w:val="21"/>
        </w:rPr>
        <w:t xml:space="preserve">This document defines what is expected of any guest developer — vendor engineer, hackathon collaborator, contractor, or short-term project resource — onboarded onto the NextGenBI Azure Databricks platform. It exists because the recurring failure mode on this platform has been the same one, repeatedly: a guest is onboarded to deliver something, they build it, they leave, and the access, the artifacts, and the institutional knowledge they created do not leave cleanly with them. What remains is orphaned grants, undocumented notebooks, personal access tokens nobody remembers issuing, and schemas nobody is sure are safe to drop.</w:t>
      </w:r>
    </w:p>
    <w:p>
      <w:pPr>
        <w:spacing w:after="140" w:line="276"/>
      </w:pPr>
      <w:r>
        <w:rPr>
          <w:sz w:val="21"/>
          <w:szCs w:val="21"/>
        </w:rPr>
        <w:t xml:space="preserve">The guiding principle for everything below: guests are temporary, but the platform's exposure is not. Once a guest is granted access, the Platform Lead — not the guest, not the vendor, not the guest's manager — owns the consequences of that access for as long as it exists. A guest who forgets to rotate a PAT is a minor inconvenience to them and a production incident waiting to happen for us. This document is written to shift the entire lifecycle — onboarding, active engagement, and offboarding — onto rails that fail safe by default, rather than relying on guest diligence or goodwill.</w:t>
      </w:r>
    </w:p>
    <w:p>
      <w:pPr>
        <w:spacing w:after="140" w:line="276"/>
      </w:pPr>
      <w:r>
        <w:rPr>
          <w:sz w:val="21"/>
          <w:szCs w:val="21"/>
        </w:rPr>
        <w:t xml:space="preserve">This is not a checklist to hand to a guest and forget about. It is the operating standard the Platform Lead enforces, with the guest's sponsor held jointly accountable for outcomes.</w:t>
      </w:r>
    </w:p>
    <w:p>
      <w:pPr>
        <w:pStyle w:val="Heading1"/>
        <w:pBdr>
          <w:bottom w:val="single" w:color="2E5395" w:sz="6" w:space="4"/>
        </w:pBdr>
        <w:spacing w:after="200" w:before="400"/>
      </w:pPr>
      <w:r>
        <w:rPr>
          <w:b/>
          <w:bCs/>
          <w:color w:val="1F3864"/>
          <w:sz w:val="28"/>
          <w:szCs w:val="28"/>
        </w:rPr>
        <w:t xml:space="preserve">2. Guest Personas</w:t>
      </w:r>
    </w:p>
    <w:p>
      <w:pPr>
        <w:spacing w:after="140" w:line="276"/>
      </w:pPr>
      <w:r>
        <w:rPr>
          <w:sz w:val="21"/>
          <w:szCs w:val="21"/>
        </w:rPr>
        <w:t xml:space="preserve">Not all guests need the same footprint. Access is granted against one of three personas, and the default is always the narrowest one that lets the guest do their job.</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2600"/>
        <w:gridCol w:w="4200"/>
        <w:gridCol w:w="3400"/>
      </w:tblGrid>
      <w:tr>
        <w:trPr>
          <w:tblHeader/>
        </w:trPr>
        <w:tc>
          <w:tcPr>
            <w:tcW w:type="dxa" w:w="2600"/>
            <w:shd w:fill="2E5395" w:val="clear"/>
            <w:tcMar>
              <w:top w:type="dxa" w:w="80"/>
              <w:left w:type="dxa" w:w="100"/>
              <w:bottom w:type="dxa" w:w="80"/>
              <w:right w:type="dxa" w:w="100"/>
            </w:tcMar>
          </w:tcPr>
          <w:p>
            <w:pPr>
              <w:jc w:val="left"/>
            </w:pPr>
            <w:r>
              <w:rPr>
                <w:b/>
                <w:bCs/>
                <w:color w:val="FFFFFF"/>
                <w:sz w:val="19"/>
                <w:szCs w:val="19"/>
              </w:rPr>
              <w:t xml:space="preserve">Persona</w:t>
            </w:r>
          </w:p>
        </w:tc>
        <w:tc>
          <w:tcPr>
            <w:tcW w:type="dxa" w:w="4200"/>
            <w:shd w:fill="2E5395" w:val="clear"/>
            <w:tcMar>
              <w:top w:type="dxa" w:w="80"/>
              <w:left w:type="dxa" w:w="100"/>
              <w:bottom w:type="dxa" w:w="80"/>
              <w:right w:type="dxa" w:w="100"/>
            </w:tcMar>
          </w:tcPr>
          <w:p>
            <w:pPr>
              <w:jc w:val="left"/>
            </w:pPr>
            <w:r>
              <w:rPr>
                <w:b/>
                <w:bCs/>
                <w:color w:val="FFFFFF"/>
                <w:sz w:val="19"/>
                <w:szCs w:val="19"/>
              </w:rPr>
              <w:t xml:space="preserve">Typical Use Case</w:t>
            </w:r>
          </w:p>
        </w:tc>
        <w:tc>
          <w:tcPr>
            <w:tcW w:type="dxa" w:w="3400"/>
            <w:shd w:fill="2E5395" w:val="clear"/>
            <w:tcMar>
              <w:top w:type="dxa" w:w="80"/>
              <w:left w:type="dxa" w:w="100"/>
              <w:bottom w:type="dxa" w:w="80"/>
              <w:right w:type="dxa" w:w="100"/>
            </w:tcMar>
          </w:tcPr>
          <w:p>
            <w:pPr>
              <w:jc w:val="left"/>
            </w:pPr>
            <w:r>
              <w:rPr>
                <w:b/>
                <w:bCs/>
                <w:color w:val="FFFFFF"/>
                <w:sz w:val="19"/>
                <w:szCs w:val="19"/>
              </w:rPr>
              <w:t xml:space="preserve">Default Access Ceiling</w:t>
            </w:r>
          </w:p>
        </w:tc>
      </w:tr>
      <w:tr>
        <w:tc>
          <w:tcPr>
            <w:tcW w:type="dxa" w:w="2600"/>
            <w:shd w:fill="FFFFFF" w:val="clear"/>
            <w:tcMar>
              <w:top w:type="dxa" w:w="80"/>
              <w:left w:type="dxa" w:w="100"/>
              <w:bottom w:type="dxa" w:w="80"/>
              <w:right w:type="dxa" w:w="100"/>
            </w:tcMar>
          </w:tcPr>
          <w:p>
            <w:pPr>
              <w:jc w:val="left"/>
            </w:pPr>
            <w:r>
              <w:rPr>
                <w:color w:val="000000"/>
                <w:sz w:val="19"/>
                <w:szCs w:val="19"/>
              </w:rPr>
              <w:t xml:space="preserve">Explorer / Analyst</w:t>
            </w:r>
          </w:p>
        </w:tc>
        <w:tc>
          <w:tcPr>
            <w:tcW w:type="dxa" w:w="4200"/>
            <w:shd w:fill="FFFFFF" w:val="clear"/>
            <w:tcMar>
              <w:top w:type="dxa" w:w="80"/>
              <w:left w:type="dxa" w:w="100"/>
              <w:bottom w:type="dxa" w:w="80"/>
              <w:right w:type="dxa" w:w="100"/>
            </w:tcMar>
          </w:tcPr>
          <w:p>
            <w:pPr>
              <w:jc w:val="left"/>
            </w:pPr>
            <w:r>
              <w:rPr>
                <w:color w:val="000000"/>
                <w:sz w:val="19"/>
                <w:szCs w:val="19"/>
              </w:rPr>
              <w:t xml:space="preserve">Read-only investigation, dashboard consumption, data exploration for scoping a future project</w:t>
            </w:r>
          </w:p>
        </w:tc>
        <w:tc>
          <w:tcPr>
            <w:tcW w:type="dxa" w:w="3400"/>
            <w:shd w:fill="FFFFFF" w:val="clear"/>
            <w:tcMar>
              <w:top w:type="dxa" w:w="80"/>
              <w:left w:type="dxa" w:w="100"/>
              <w:bottom w:type="dxa" w:w="80"/>
              <w:right w:type="dxa" w:w="100"/>
            </w:tcMar>
          </w:tcPr>
          <w:p>
            <w:pPr>
              <w:jc w:val="left"/>
            </w:pPr>
            <w:r>
              <w:rPr>
                <w:color w:val="000000"/>
                <w:sz w:val="19"/>
                <w:szCs w:val="19"/>
              </w:rPr>
              <w:t xml:space="preserve">Read on designated Gold schemas only. No compute creation, no write access, no Dev/UAT.</w:t>
            </w:r>
          </w:p>
        </w:tc>
      </w:tr>
      <w:tr>
        <w:tc>
          <w:tcPr>
            <w:tcW w:type="dxa" w:w="2600"/>
            <w:shd w:fill="F2F2F2" w:val="clear"/>
            <w:tcMar>
              <w:top w:type="dxa" w:w="80"/>
              <w:left w:type="dxa" w:w="100"/>
              <w:bottom w:type="dxa" w:w="80"/>
              <w:right w:type="dxa" w:w="100"/>
            </w:tcMar>
          </w:tcPr>
          <w:p>
            <w:pPr>
              <w:jc w:val="left"/>
            </w:pPr>
            <w:r>
              <w:rPr>
                <w:color w:val="000000"/>
                <w:sz w:val="19"/>
                <w:szCs w:val="19"/>
              </w:rPr>
              <w:t xml:space="preserve">Contributor</w:t>
            </w:r>
          </w:p>
        </w:tc>
        <w:tc>
          <w:tcPr>
            <w:tcW w:type="dxa" w:w="4200"/>
            <w:shd w:fill="F2F2F2" w:val="clear"/>
            <w:tcMar>
              <w:top w:type="dxa" w:w="80"/>
              <w:left w:type="dxa" w:w="100"/>
              <w:bottom w:type="dxa" w:w="80"/>
              <w:right w:type="dxa" w:w="100"/>
            </w:tcMar>
          </w:tcPr>
          <w:p>
            <w:pPr>
              <w:jc w:val="left"/>
            </w:pPr>
            <w:r>
              <w:rPr>
                <w:color w:val="000000"/>
                <w:sz w:val="19"/>
                <w:szCs w:val="19"/>
              </w:rPr>
              <w:t xml:space="preserve">Time-boxed feature or fix within an existing pipeline, under direct supervision of an internal engineer</w:t>
            </w:r>
          </w:p>
        </w:tc>
        <w:tc>
          <w:tcPr>
            <w:tcW w:type="dxa" w:w="3400"/>
            <w:shd w:fill="F2F2F2" w:val="clear"/>
            <w:tcMar>
              <w:top w:type="dxa" w:w="80"/>
              <w:left w:type="dxa" w:w="100"/>
              <w:bottom w:type="dxa" w:w="80"/>
              <w:right w:type="dxa" w:w="100"/>
            </w:tcMar>
          </w:tcPr>
          <w:p>
            <w:pPr>
              <w:jc w:val="left"/>
            </w:pPr>
            <w:r>
              <w:rPr>
                <w:color w:val="000000"/>
                <w:sz w:val="19"/>
                <w:szCs w:val="19"/>
              </w:rPr>
              <w:t xml:space="preserve">Write access scoped to a named sandbox schema in Dev. No UAT/Prod. No cross-schema grants.</w:t>
            </w:r>
          </w:p>
        </w:tc>
      </w:tr>
      <w:tr>
        <w:tc>
          <w:tcPr>
            <w:tcW w:type="dxa" w:w="2600"/>
            <w:shd w:fill="FFFFFF" w:val="clear"/>
            <w:tcMar>
              <w:top w:type="dxa" w:w="80"/>
              <w:left w:type="dxa" w:w="100"/>
              <w:bottom w:type="dxa" w:w="80"/>
              <w:right w:type="dxa" w:w="100"/>
            </w:tcMar>
          </w:tcPr>
          <w:p>
            <w:pPr>
              <w:jc w:val="left"/>
            </w:pPr>
            <w:r>
              <w:rPr>
                <w:color w:val="000000"/>
                <w:sz w:val="19"/>
                <w:szCs w:val="19"/>
              </w:rPr>
              <w:t xml:space="preserve">Builder / Developer</w:t>
            </w:r>
          </w:p>
        </w:tc>
        <w:tc>
          <w:tcPr>
            <w:tcW w:type="dxa" w:w="4200"/>
            <w:shd w:fill="FFFFFF" w:val="clear"/>
            <w:tcMar>
              <w:top w:type="dxa" w:w="80"/>
              <w:left w:type="dxa" w:w="100"/>
              <w:bottom w:type="dxa" w:w="80"/>
              <w:right w:type="dxa" w:w="100"/>
            </w:tcMar>
          </w:tcPr>
          <w:p>
            <w:pPr>
              <w:jc w:val="left"/>
            </w:pPr>
            <w:r>
              <w:rPr>
                <w:color w:val="000000"/>
                <w:sz w:val="19"/>
                <w:szCs w:val="19"/>
              </w:rPr>
              <w:t xml:space="preserve">End-to-end build of a new pipeline, agent, or module (e.g. vendor engagement, hackathon build-out)</w:t>
            </w:r>
          </w:p>
        </w:tc>
        <w:tc>
          <w:tcPr>
            <w:tcW w:type="dxa" w:w="3400"/>
            <w:shd w:fill="FFFFFF" w:val="clear"/>
            <w:tcMar>
              <w:top w:type="dxa" w:w="80"/>
              <w:left w:type="dxa" w:w="100"/>
              <w:bottom w:type="dxa" w:w="80"/>
              <w:right w:type="dxa" w:w="100"/>
            </w:tcMar>
          </w:tcPr>
          <w:p>
            <w:pPr>
              <w:jc w:val="left"/>
            </w:pPr>
            <w:r>
              <w:rPr>
                <w:color w:val="000000"/>
                <w:sz w:val="19"/>
                <w:szCs w:val="19"/>
              </w:rPr>
              <w:t xml:space="preserve">Full Dev workspace access within a dedicated sandbox catalog. UAT access only via time-boxed exception (Section 5). Prod access is never granted to this persona.</w:t>
            </w:r>
          </w:p>
        </w:tc>
      </w:tr>
    </w:tbl>
    <w:p>
      <w:pPr>
        <w:spacing w:after="140" w:line="276"/>
      </w:pPr>
      <w:r>
        <w:rPr>
          <w:sz w:val="21"/>
          <w:szCs w:val="21"/>
        </w:rPr>
        <w:t xml:space="preserve">Persona assignment is made by the Platform Lead at intake, not requested by the guest or their vendor manager. If a guest's actual work outgrows their persona mid-engagement, that is a re-approval event, not a silent scope creep.</w:t>
      </w:r>
    </w:p>
    <w:p>
      <w:pPr>
        <w:pStyle w:val="Heading1"/>
        <w:pBdr>
          <w:bottom w:val="single" w:color="2E5395" w:sz="6" w:space="4"/>
        </w:pBdr>
        <w:spacing w:after="200" w:before="400"/>
      </w:pPr>
      <w:r>
        <w:rPr>
          <w:b/>
          <w:bCs/>
          <w:color w:val="1F3864"/>
          <w:sz w:val="28"/>
          <w:szCs w:val="28"/>
        </w:rPr>
        <w:t xml:space="preserve">3. Pre-Onboarding — Before Any Credential Is Issued</w:t>
      </w:r>
    </w:p>
    <w:p>
      <w:pPr>
        <w:spacing w:after="140" w:line="276"/>
      </w:pPr>
      <w:r>
        <w:rPr>
          <w:sz w:val="21"/>
          <w:szCs w:val="21"/>
        </w:rPr>
        <w:t xml:space="preserve">No access is provisioned until all of the following are true. This is a hard gate, not a set of best-effort recommendations.</w:t>
      </w:r>
    </w:p>
    <w:p>
      <w:pPr>
        <w:pStyle w:val="Heading3"/>
        <w:spacing w:after="100" w:before="200"/>
      </w:pPr>
      <w:r>
        <w:rPr>
          <w:b/>
          <w:bCs/>
          <w:color w:val="1F3864"/>
          <w:sz w:val="21"/>
          <w:szCs w:val="21"/>
        </w:rPr>
        <w:t xml:space="preserve">3.1 Sponsorship and time-boxing</w:t>
      </w:r>
    </w:p>
    <w:p>
      <w:pPr>
        <w:pStyle w:val="ListParagraph"/>
        <w:numPr>
          <w:ilvl w:val="0"/>
          <w:numId w:val="1"/>
        </w:numPr>
        <w:spacing w:after="80"/>
      </w:pPr>
      <w:r>
        <w:rPr>
          <w:sz w:val="21"/>
          <w:szCs w:val="21"/>
        </w:rPr>
        <w:t xml:space="preserve">Every guest has a named internal sponsor (the engineer or Tech Lead accountable for their output) — access requests with no sponsor are rejected outright.</w:t>
      </w:r>
    </w:p>
    <w:p>
      <w:pPr>
        <w:pStyle w:val="ListParagraph"/>
        <w:numPr>
          <w:ilvl w:val="0"/>
          <w:numId w:val="1"/>
        </w:numPr>
        <w:spacing w:after="80"/>
      </w:pPr>
      <w:r>
        <w:rPr>
          <w:sz w:val="21"/>
          <w:szCs w:val="21"/>
        </w:rPr>
        <w:t xml:space="preserve">Every access grant has a hard end date tied to the engagement's stated end date, not an open-ended "until further notice." Extensions require the sponsor to re-request, not an automatic rollover.</w:t>
      </w:r>
    </w:p>
    <w:p>
      <w:pPr>
        <w:pStyle w:val="ListParagraph"/>
        <w:numPr>
          <w:ilvl w:val="0"/>
          <w:numId w:val="1"/>
        </w:numPr>
        <w:spacing w:after="80"/>
      </w:pPr>
      <w:r>
        <w:rPr>
          <w:sz w:val="21"/>
          <w:szCs w:val="21"/>
        </w:rPr>
        <w:t xml:space="preserve">The engagement's deliverable and scope of work are documented in writing (even a short paragraph) before access is cut — this becomes the basis for judging scope creep later.</w:t>
      </w:r>
    </w:p>
    <w:p>
      <w:pPr>
        <w:pStyle w:val="Heading3"/>
        <w:spacing w:after="100" w:before="200"/>
      </w:pPr>
      <w:r>
        <w:rPr>
          <w:b/>
          <w:bCs/>
          <w:color w:val="1F3864"/>
          <w:sz w:val="21"/>
          <w:szCs w:val="21"/>
        </w:rPr>
        <w:t xml:space="preserve">3.2 Identity and entitlement setup</w:t>
      </w:r>
    </w:p>
    <w:p>
      <w:pPr>
        <w:pStyle w:val="ListParagraph"/>
        <w:numPr>
          <w:ilvl w:val="0"/>
          <w:numId w:val="1"/>
        </w:numPr>
        <w:spacing w:after="80"/>
      </w:pPr>
      <w:r>
        <w:rPr>
          <w:sz w:val="21"/>
          <w:szCs w:val="21"/>
        </w:rPr>
        <w:t xml:space="preserve">Guest is provisioned through the dedicated AAD guest persona groups (Guest-Explorer / Guest-Contributor / Guest-Developer), never added directly to an internal engineer's group or an ad hoc admin group.</w:t>
      </w:r>
    </w:p>
    <w:p>
      <w:pPr>
        <w:pStyle w:val="ListParagraph"/>
        <w:numPr>
          <w:ilvl w:val="0"/>
          <w:numId w:val="1"/>
        </w:numPr>
        <w:spacing w:after="80"/>
      </w:pPr>
      <w:r>
        <w:rPr>
          <w:sz w:val="21"/>
          <w:szCs w:val="21"/>
        </w:rPr>
        <w:t xml:space="preserve">Unity Catalog grants are issued against the guest's group, never against the individual's user principal directly — this is what makes offboarding a single group-removal action instead of a grant-by-grant hunt.</w:t>
      </w:r>
    </w:p>
    <w:p>
      <w:pPr>
        <w:pStyle w:val="ListParagraph"/>
        <w:numPr>
          <w:ilvl w:val="0"/>
          <w:numId w:val="1"/>
        </w:numPr>
        <w:spacing w:after="80"/>
      </w:pPr>
      <w:r>
        <w:rPr>
          <w:sz w:val="21"/>
          <w:szCs w:val="21"/>
        </w:rPr>
        <w:t xml:space="preserve">No guest is ever issued a personal access token with an expiry beyond the engagement window. PATs longer than 30 days for a guest identity are a standing policy violation, not an exception to request.</w:t>
      </w:r>
    </w:p>
    <w:p>
      <w:pPr>
        <w:pStyle w:val="Heading3"/>
        <w:spacing w:after="100" w:before="200"/>
      </w:pPr>
      <w:r>
        <w:rPr>
          <w:b/>
          <w:bCs/>
          <w:color w:val="1F3864"/>
          <w:sz w:val="21"/>
          <w:szCs w:val="21"/>
        </w:rPr>
        <w:t xml:space="preserve">3.3 Environment default</w:t>
      </w:r>
    </w:p>
    <w:p>
      <w:pPr>
        <w:pStyle w:val="ListParagraph"/>
        <w:numPr>
          <w:ilvl w:val="0"/>
          <w:numId w:val="1"/>
        </w:numPr>
        <w:spacing w:after="80"/>
      </w:pPr>
      <w:r>
        <w:rPr>
          <w:sz w:val="21"/>
          <w:szCs w:val="21"/>
        </w:rPr>
        <w:t xml:space="preserve">Dev is the default and, for most engagements, the only environment a guest ever touches. Dev-Shared, UAT, and Prod are opt-in exceptions with their own approval trail (Section 5).</w:t>
      </w:r>
    </w:p>
    <w:p>
      <w:pPr>
        <w:pStyle w:val="Heading1"/>
        <w:pBdr>
          <w:bottom w:val="single" w:color="2E5395" w:sz="6" w:space="4"/>
        </w:pBdr>
        <w:spacing w:after="200" w:before="400"/>
      </w:pPr>
      <w:r>
        <w:rPr>
          <w:b/>
          <w:bCs/>
          <w:color w:val="1F3864"/>
          <w:sz w:val="28"/>
          <w:szCs w:val="28"/>
        </w:rPr>
        <w:t xml:space="preserve">4. What Is Expected During the Engagement</w:t>
      </w:r>
    </w:p>
    <w:p>
      <w:pPr>
        <w:spacing w:after="140" w:line="276"/>
      </w:pPr>
      <w:r>
        <w:rPr>
          <w:sz w:val="21"/>
          <w:szCs w:val="21"/>
        </w:rPr>
        <w:t xml:space="preserve">These are the standards a guest is held to for the duration of active work — not aspirational, and not negotiable by the vendor.</w:t>
      </w:r>
    </w:p>
    <w:p>
      <w:pPr>
        <w:pStyle w:val="Heading2"/>
        <w:spacing w:after="120" w:before="280"/>
      </w:pPr>
      <w:r>
        <w:rPr>
          <w:b/>
          <w:bCs/>
          <w:color w:val="2E5395"/>
          <w:sz w:val="24"/>
          <w:szCs w:val="24"/>
        </w:rPr>
        <w:t xml:space="preserve">4.1 Repository and code discipline</w:t>
      </w:r>
    </w:p>
    <w:p>
      <w:pPr>
        <w:pStyle w:val="ListParagraph"/>
        <w:numPr>
          <w:ilvl w:val="0"/>
          <w:numId w:val="1"/>
        </w:numPr>
        <w:spacing w:after="80"/>
      </w:pPr>
      <w:r>
        <w:rPr>
          <w:sz w:val="21"/>
          <w:szCs w:val="21"/>
        </w:rPr>
        <w:t xml:space="preserve">All work happens in the designated repo under the DABs develop → release → main promotion flow — no local-only notebooks that never make it into version control.</w:t>
      </w:r>
    </w:p>
    <w:p>
      <w:pPr>
        <w:pStyle w:val="ListParagraph"/>
        <w:numPr>
          <w:ilvl w:val="0"/>
          <w:numId w:val="1"/>
        </w:numPr>
        <w:spacing w:after="80"/>
      </w:pPr>
      <w:r>
        <w:rPr>
          <w:sz w:val="21"/>
          <w:szCs w:val="21"/>
        </w:rPr>
        <w:t xml:space="preserve">Guests get a feature branch off develop; direct commits to release or main are blocked at the branch-protection level, not by request.</w:t>
      </w:r>
    </w:p>
    <w:p>
      <w:pPr>
        <w:pStyle w:val="ListParagraph"/>
        <w:numPr>
          <w:ilvl w:val="0"/>
          <w:numId w:val="1"/>
        </w:numPr>
        <w:spacing w:after="80"/>
      </w:pPr>
      <w:r>
        <w:rPr>
          <w:sz w:val="21"/>
          <w:szCs w:val="21"/>
        </w:rPr>
        <w:t xml:space="preserve">Every notebook, job, and pipeline the guest creates carries a header comment identifying the guest, the sponsor, the ticket/engagement reference, and the creation date. Unattributed assets get flagged and quarantined during periodic audits.</w:t>
      </w:r>
    </w:p>
    <w:p>
      <w:pPr>
        <w:pStyle w:val="Heading2"/>
        <w:spacing w:after="120" w:before="280"/>
      </w:pPr>
      <w:r>
        <w:rPr>
          <w:b/>
          <w:bCs/>
          <w:color w:val="2E5395"/>
          <w:sz w:val="24"/>
          <w:szCs w:val="24"/>
        </w:rPr>
        <w:t xml:space="preserve">4.2 Credential and secret hygiene</w:t>
      </w:r>
    </w:p>
    <w:p>
      <w:pPr>
        <w:pStyle w:val="ListParagraph"/>
        <w:numPr>
          <w:ilvl w:val="0"/>
          <w:numId w:val="1"/>
        </w:numPr>
        <w:spacing w:after="80"/>
      </w:pPr>
      <w:r>
        <w:rPr>
          <w:sz w:val="21"/>
          <w:szCs w:val="21"/>
        </w:rPr>
        <w:t xml:space="preserve">Secrets go into Azure Key Vault-backed Databricks secret scopes only. Hardcoded connection strings, API keys, or tokens in notebooks are an automatic engagement-pausing finding, not a code review comment.</w:t>
      </w:r>
    </w:p>
    <w:p>
      <w:pPr>
        <w:pStyle w:val="ListParagraph"/>
        <w:numPr>
          <w:ilvl w:val="0"/>
          <w:numId w:val="1"/>
        </w:numPr>
        <w:spacing w:after="80"/>
      </w:pPr>
      <w:r>
        <w:rPr>
          <w:sz w:val="21"/>
          <w:szCs w:val="21"/>
        </w:rPr>
        <w:t xml:space="preserve">Guests never generate service principal credentials themselves — SPs are provisioned and rotated by the platform team on request.</w:t>
      </w:r>
    </w:p>
    <w:p>
      <w:pPr>
        <w:pStyle w:val="ListParagraph"/>
        <w:numPr>
          <w:ilvl w:val="0"/>
          <w:numId w:val="1"/>
        </w:numPr>
        <w:spacing w:after="80"/>
      </w:pPr>
      <w:r>
        <w:rPr>
          <w:sz w:val="21"/>
          <w:szCs w:val="21"/>
        </w:rPr>
        <w:t xml:space="preserve">Any credential a guest touches (even briefly, even in testing) is treated as compromised at offboarding and is rotated, not just revoked.</w:t>
      </w:r>
    </w:p>
    <w:p>
      <w:pPr>
        <w:pStyle w:val="Heading2"/>
        <w:spacing w:after="120" w:before="280"/>
      </w:pPr>
      <w:r>
        <w:rPr>
          <w:b/>
          <w:bCs/>
          <w:color w:val="2E5395"/>
          <w:sz w:val="24"/>
          <w:szCs w:val="24"/>
        </w:rPr>
        <w:t xml:space="preserve">4.3 Unity Catalog and naming discipline</w:t>
      </w:r>
    </w:p>
    <w:p>
      <w:pPr>
        <w:pStyle w:val="ListParagraph"/>
        <w:numPr>
          <w:ilvl w:val="0"/>
          <w:numId w:val="1"/>
        </w:numPr>
        <w:spacing w:after="80"/>
      </w:pPr>
      <w:r>
        <w:rPr>
          <w:sz w:val="21"/>
          <w:szCs w:val="21"/>
        </w:rPr>
        <w:t xml:space="preserve">Guest-created objects live only inside their assigned sandbox catalog/schema — cross-schema or cross-catalog grants for a guest identity require explicit Platform Lead sign-off, logged, not silently applied.</w:t>
      </w:r>
    </w:p>
    <w:p>
      <w:pPr>
        <w:pStyle w:val="ListParagraph"/>
        <w:numPr>
          <w:ilvl w:val="0"/>
          <w:numId w:val="1"/>
        </w:numPr>
        <w:spacing w:after="80"/>
      </w:pPr>
      <w:r>
        <w:rPr>
          <w:sz w:val="21"/>
          <w:szCs w:val="21"/>
        </w:rPr>
        <w:t xml:space="preserve">Naming follows the platform's existing sandbox convention so that ownership and origin are identifiable by name alone, without needing to check who created what.</w:t>
      </w:r>
    </w:p>
    <w:p>
      <w:pPr>
        <w:pStyle w:val="Heading2"/>
        <w:spacing w:after="120" w:before="280"/>
      </w:pPr>
      <w:r>
        <w:rPr>
          <w:b/>
          <w:bCs/>
          <w:color w:val="2E5395"/>
          <w:sz w:val="24"/>
          <w:szCs w:val="24"/>
        </w:rPr>
        <w:t xml:space="preserve">4.4 What a guest is never expected or allowed to do</w:t>
      </w:r>
    </w:p>
    <w:p>
      <w:pPr>
        <w:pStyle w:val="ListParagraph"/>
        <w:numPr>
          <w:ilvl w:val="0"/>
          <w:numId w:val="1"/>
        </w:numPr>
        <w:spacing w:after="80"/>
      </w:pPr>
      <w:r>
        <w:rPr>
          <w:color w:val="C00000"/>
          <w:sz w:val="21"/>
          <w:szCs w:val="21"/>
        </w:rPr>
        <w:t xml:space="preserve">Modify production jobs, pipelines, or DABs bundle configs directly — all production changes flow through the standard CHG process with an internal engineer as the implementer of record.</w:t>
      </w:r>
    </w:p>
    <w:p>
      <w:pPr>
        <w:pStyle w:val="ListParagraph"/>
        <w:numPr>
          <w:ilvl w:val="0"/>
          <w:numId w:val="1"/>
        </w:numPr>
        <w:spacing w:after="80"/>
      </w:pPr>
      <w:r>
        <w:rPr>
          <w:color w:val="C00000"/>
          <w:sz w:val="21"/>
          <w:szCs w:val="21"/>
        </w:rPr>
        <w:t xml:space="preserve">Hold Metastore or Account Admin rights, under any circumstance, for any duration.</w:t>
      </w:r>
    </w:p>
    <w:p>
      <w:pPr>
        <w:pStyle w:val="ListParagraph"/>
        <w:numPr>
          <w:ilvl w:val="0"/>
          <w:numId w:val="1"/>
        </w:numPr>
        <w:spacing w:after="80"/>
      </w:pPr>
      <w:r>
        <w:rPr>
          <w:color w:val="C00000"/>
          <w:sz w:val="21"/>
          <w:szCs w:val="21"/>
        </w:rPr>
        <w:t xml:space="preserve">Be the sole owner or last-known-contact for any Gold-layer table, job, or dashboard that other teams depend on.</w:t>
      </w:r>
    </w:p>
    <w:p>
      <w:r>
        <w:br w:type="page"/>
      </w:r>
    </w:p>
    <w:p>
      <w:pPr>
        <w:pStyle w:val="Heading1"/>
        <w:pBdr>
          <w:bottom w:val="single" w:color="2E5395" w:sz="6" w:space="4"/>
        </w:pBdr>
        <w:spacing w:after="200" w:before="400"/>
      </w:pPr>
      <w:r>
        <w:rPr>
          <w:b/>
          <w:bCs/>
          <w:color w:val="1F3864"/>
          <w:sz w:val="28"/>
          <w:szCs w:val="28"/>
        </w:rPr>
        <w:t xml:space="preserve">5. Environment Access — Dev, UAT, Prod</w:t>
      </w:r>
    </w:p>
    <w:p>
      <w:pPr>
        <w:spacing w:after="140" w:line="276"/>
      </w:pPr>
      <w:r>
        <w:rPr>
          <w:sz w:val="21"/>
          <w:szCs w:val="21"/>
        </w:rPr>
        <w:t xml:space="preserve">Environment access is the single biggest lever for containing risk, so it gets its own explicit rule set rather than being folded into general permissions.</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2400"/>
        <w:gridCol w:w="3800"/>
        <w:gridCol w:w="4000"/>
      </w:tblGrid>
      <w:tr>
        <w:trPr>
          <w:tblHeader/>
        </w:trPr>
        <w:tc>
          <w:tcPr>
            <w:tcW w:type="dxa" w:w="2400"/>
            <w:shd w:fill="2E5395" w:val="clear"/>
            <w:tcMar>
              <w:top w:type="dxa" w:w="80"/>
              <w:left w:type="dxa" w:w="100"/>
              <w:bottom w:type="dxa" w:w="80"/>
              <w:right w:type="dxa" w:w="100"/>
            </w:tcMar>
          </w:tcPr>
          <w:p>
            <w:pPr>
              <w:jc w:val="left"/>
            </w:pPr>
            <w:r>
              <w:rPr>
                <w:b/>
                <w:bCs/>
                <w:color w:val="FFFFFF"/>
                <w:sz w:val="19"/>
                <w:szCs w:val="19"/>
              </w:rPr>
              <w:t xml:space="preserve">Environment</w:t>
            </w:r>
          </w:p>
        </w:tc>
        <w:tc>
          <w:tcPr>
            <w:tcW w:type="dxa" w:w="3800"/>
            <w:shd w:fill="2E5395" w:val="clear"/>
            <w:tcMar>
              <w:top w:type="dxa" w:w="80"/>
              <w:left w:type="dxa" w:w="100"/>
              <w:bottom w:type="dxa" w:w="80"/>
              <w:right w:type="dxa" w:w="100"/>
            </w:tcMar>
          </w:tcPr>
          <w:p>
            <w:pPr>
              <w:jc w:val="left"/>
            </w:pPr>
            <w:r>
              <w:rPr>
                <w:b/>
                <w:bCs/>
                <w:color w:val="FFFFFF"/>
                <w:sz w:val="19"/>
                <w:szCs w:val="19"/>
              </w:rPr>
              <w:t xml:space="preserve">Default for Guests</w:t>
            </w:r>
          </w:p>
        </w:tc>
        <w:tc>
          <w:tcPr>
            <w:tcW w:type="dxa" w:w="4000"/>
            <w:shd w:fill="2E5395" w:val="clear"/>
            <w:tcMar>
              <w:top w:type="dxa" w:w="80"/>
              <w:left w:type="dxa" w:w="100"/>
              <w:bottom w:type="dxa" w:w="80"/>
              <w:right w:type="dxa" w:w="100"/>
            </w:tcMar>
          </w:tcPr>
          <w:p>
            <w:pPr>
              <w:jc w:val="left"/>
            </w:pPr>
            <w:r>
              <w:rPr>
                <w:b/>
                <w:bCs/>
                <w:color w:val="FFFFFF"/>
                <w:sz w:val="19"/>
                <w:szCs w:val="19"/>
              </w:rPr>
              <w:t xml:space="preserve">How Exceptions Work</w:t>
            </w:r>
          </w:p>
        </w:tc>
      </w:tr>
      <w:tr>
        <w:tc>
          <w:tcPr>
            <w:tcW w:type="dxa" w:w="2400"/>
            <w:shd w:fill="FFFFFF" w:val="clear"/>
            <w:tcMar>
              <w:top w:type="dxa" w:w="80"/>
              <w:left w:type="dxa" w:w="100"/>
              <w:bottom w:type="dxa" w:w="80"/>
              <w:right w:type="dxa" w:w="100"/>
            </w:tcMar>
          </w:tcPr>
          <w:p>
            <w:pPr>
              <w:jc w:val="left"/>
            </w:pPr>
            <w:r>
              <w:rPr>
                <w:color w:val="000000"/>
                <w:sz w:val="19"/>
                <w:szCs w:val="19"/>
              </w:rPr>
              <w:t xml:space="preserve">Dev / Dev-Shared</w:t>
            </w:r>
          </w:p>
        </w:tc>
        <w:tc>
          <w:tcPr>
            <w:tcW w:type="dxa" w:w="3800"/>
            <w:shd w:fill="FFFFFF" w:val="clear"/>
            <w:tcMar>
              <w:top w:type="dxa" w:w="80"/>
              <w:left w:type="dxa" w:w="100"/>
              <w:bottom w:type="dxa" w:w="80"/>
              <w:right w:type="dxa" w:w="100"/>
            </w:tcMar>
          </w:tcPr>
          <w:p>
            <w:pPr>
              <w:jc w:val="left"/>
            </w:pPr>
            <w:r>
              <w:rPr>
                <w:color w:val="000000"/>
                <w:sz w:val="19"/>
                <w:szCs w:val="19"/>
              </w:rPr>
              <w:t xml:space="preserve">Standard, persona-scoped access from day one.</w:t>
            </w:r>
          </w:p>
        </w:tc>
        <w:tc>
          <w:tcPr>
            <w:tcW w:type="dxa" w:w="4000"/>
            <w:shd w:fill="FFFFFF" w:val="clear"/>
            <w:tcMar>
              <w:top w:type="dxa" w:w="80"/>
              <w:left w:type="dxa" w:w="100"/>
              <w:bottom w:type="dxa" w:w="80"/>
              <w:right w:type="dxa" w:w="100"/>
            </w:tcMar>
          </w:tcPr>
          <w:p>
            <w:pPr>
              <w:jc w:val="left"/>
            </w:pPr>
            <w:r>
              <w:rPr>
                <w:color w:val="000000"/>
                <w:sz w:val="19"/>
                <w:szCs w:val="19"/>
              </w:rPr>
              <w:t xml:space="preserve">N/A — this is the baseline working environment.</w:t>
            </w:r>
          </w:p>
        </w:tc>
      </w:tr>
      <w:tr>
        <w:tc>
          <w:tcPr>
            <w:tcW w:type="dxa" w:w="2400"/>
            <w:shd w:fill="F2F2F2" w:val="clear"/>
            <w:tcMar>
              <w:top w:type="dxa" w:w="80"/>
              <w:left w:type="dxa" w:w="100"/>
              <w:bottom w:type="dxa" w:w="80"/>
              <w:right w:type="dxa" w:w="100"/>
            </w:tcMar>
          </w:tcPr>
          <w:p>
            <w:pPr>
              <w:jc w:val="left"/>
            </w:pPr>
            <w:r>
              <w:rPr>
                <w:color w:val="000000"/>
                <w:sz w:val="19"/>
                <w:szCs w:val="19"/>
              </w:rPr>
              <w:t xml:space="preserve">UAT</w:t>
            </w:r>
          </w:p>
        </w:tc>
        <w:tc>
          <w:tcPr>
            <w:tcW w:type="dxa" w:w="3800"/>
            <w:shd w:fill="F2F2F2" w:val="clear"/>
            <w:tcMar>
              <w:top w:type="dxa" w:w="80"/>
              <w:left w:type="dxa" w:w="100"/>
              <w:bottom w:type="dxa" w:w="80"/>
              <w:right w:type="dxa" w:w="100"/>
            </w:tcMar>
          </w:tcPr>
          <w:p>
            <w:pPr>
              <w:jc w:val="left"/>
            </w:pPr>
            <w:r>
              <w:rPr>
                <w:color w:val="000000"/>
                <w:sz w:val="19"/>
                <w:szCs w:val="19"/>
              </w:rPr>
              <w:t xml:space="preserve">No access by default.</w:t>
            </w:r>
          </w:p>
        </w:tc>
        <w:tc>
          <w:tcPr>
            <w:tcW w:type="dxa" w:w="4000"/>
            <w:shd w:fill="F2F2F2" w:val="clear"/>
            <w:tcMar>
              <w:top w:type="dxa" w:w="80"/>
              <w:left w:type="dxa" w:w="100"/>
              <w:bottom w:type="dxa" w:w="80"/>
              <w:right w:type="dxa" w:w="100"/>
            </w:tcMar>
          </w:tcPr>
          <w:p>
            <w:pPr>
              <w:jc w:val="left"/>
            </w:pPr>
            <w:r>
              <w:rPr>
                <w:color w:val="000000"/>
                <w:sz w:val="19"/>
                <w:szCs w:val="19"/>
              </w:rPr>
              <w:t xml:space="preserve">Time-boxed, written exception approved by Platform Lead + sponsor, tied to a specific validation task, auto-expires at task completion or 5 business days, whichever is sooner.</w:t>
            </w:r>
          </w:p>
        </w:tc>
      </w:tr>
      <w:tr>
        <w:tc>
          <w:tcPr>
            <w:tcW w:type="dxa" w:w="2400"/>
            <w:shd w:fill="FFFFFF" w:val="clear"/>
            <w:tcMar>
              <w:top w:type="dxa" w:w="80"/>
              <w:left w:type="dxa" w:w="100"/>
              <w:bottom w:type="dxa" w:w="80"/>
              <w:right w:type="dxa" w:w="100"/>
            </w:tcMar>
          </w:tcPr>
          <w:p>
            <w:pPr>
              <w:jc w:val="left"/>
            </w:pPr>
            <w:r>
              <w:rPr>
                <w:color w:val="000000"/>
                <w:sz w:val="19"/>
                <w:szCs w:val="19"/>
              </w:rPr>
              <w:t xml:space="preserve">Prod</w:t>
            </w:r>
          </w:p>
        </w:tc>
        <w:tc>
          <w:tcPr>
            <w:tcW w:type="dxa" w:w="3800"/>
            <w:shd w:fill="FFFFFF" w:val="clear"/>
            <w:tcMar>
              <w:top w:type="dxa" w:w="80"/>
              <w:left w:type="dxa" w:w="100"/>
              <w:bottom w:type="dxa" w:w="80"/>
              <w:right w:type="dxa" w:w="100"/>
            </w:tcMar>
          </w:tcPr>
          <w:p>
            <w:pPr>
              <w:jc w:val="left"/>
            </w:pPr>
            <w:r>
              <w:rPr>
                <w:color w:val="000000"/>
                <w:sz w:val="19"/>
                <w:szCs w:val="19"/>
              </w:rPr>
              <w:t xml:space="preserve">No access, no exceptions, for any guest persona.</w:t>
            </w:r>
          </w:p>
        </w:tc>
        <w:tc>
          <w:tcPr>
            <w:tcW w:type="dxa" w:w="4000"/>
            <w:shd w:fill="FFFFFF" w:val="clear"/>
            <w:tcMar>
              <w:top w:type="dxa" w:w="80"/>
              <w:left w:type="dxa" w:w="100"/>
              <w:bottom w:type="dxa" w:w="80"/>
              <w:right w:type="dxa" w:w="100"/>
            </w:tcMar>
          </w:tcPr>
          <w:p>
            <w:pPr>
              <w:jc w:val="left"/>
            </w:pPr>
            <w:r>
              <w:rPr>
                <w:color w:val="000000"/>
                <w:sz w:val="19"/>
                <w:szCs w:val="19"/>
              </w:rPr>
              <w:t xml:space="preserve">Guests do not get Prod access. Period. Production changes are implemented by an internal engineer reviewing the guest's Dev/UAT-validated work.</w:t>
            </w:r>
          </w:p>
        </w:tc>
      </w:tr>
    </w:tbl>
    <w:p>
      <w:pPr>
        <w:spacing w:after="140" w:line="276"/>
      </w:pPr>
      <w:r>
        <w:rPr>
          <w:sz w:val="21"/>
          <w:szCs w:val="21"/>
        </w:rPr>
        <w:t xml:space="preserve">This is deliberately stricter than what internal engineers operate under, because the accountability chain for a guest's actions is shorter and weaker than an employee's. A guest who causes a Prod incident is, functionally, an incident the Platform Lead caused by granting the access in the first place.</w:t>
      </w:r>
    </w:p>
    <w:p>
      <w:pPr>
        <w:pStyle w:val="Heading1"/>
        <w:pBdr>
          <w:bottom w:val="single" w:color="2E5395" w:sz="6" w:space="4"/>
        </w:pBdr>
        <w:spacing w:after="200" w:before="400"/>
      </w:pPr>
      <w:r>
        <w:rPr>
          <w:b/>
          <w:bCs/>
          <w:color w:val="1F3864"/>
          <w:sz w:val="28"/>
          <w:szCs w:val="28"/>
        </w:rPr>
        <w:t xml:space="preserve">6. Mandatory Handoff Deliverables</w:t>
      </w:r>
    </w:p>
    <w:p>
      <w:pPr>
        <w:spacing w:after="140" w:line="276"/>
      </w:pPr>
      <w:r>
        <w:rPr>
          <w:sz w:val="21"/>
          <w:szCs w:val="21"/>
        </w:rPr>
        <w:t xml:space="preserve">This is the section that directly answers the recurring failure: guests leave, and the knowledge leaves with them. From this point forward, none of the following are optional, and none of them are things the guest volunteers to do out of professionalism — they are contractual deliverables tied to sign-off and, where applicable, final invoice approval for vendor engagements.</w:t>
      </w:r>
    </w:p>
    <w:p>
      <w:pPr>
        <w:pStyle w:val="Heading2"/>
        <w:spacing w:after="120" w:before="280"/>
      </w:pPr>
      <w:r>
        <w:rPr>
          <w:b/>
          <w:bCs/>
          <w:color w:val="2E5395"/>
          <w:sz w:val="24"/>
          <w:szCs w:val="24"/>
        </w:rPr>
        <w:t xml:space="preserve">6.1 The handoff package</w:t>
      </w:r>
    </w:p>
    <w:p>
      <w:pPr>
        <w:spacing w:after="140" w:line="276"/>
      </w:pPr>
      <w:r>
        <w:rPr>
          <w:sz w:val="21"/>
          <w:szCs w:val="21"/>
        </w:rPr>
        <w:t xml:space="preserve">Before a guest's access is scheduled for revocation, the sponsor collects and the Platform Lead reviews a handoff package containing:</w:t>
      </w:r>
    </w:p>
    <w:p>
      <w:pPr>
        <w:pStyle w:val="ListParagraph"/>
        <w:numPr>
          <w:ilvl w:val="0"/>
          <w:numId w:val="2"/>
        </w:numPr>
        <w:spacing w:after="80"/>
      </w:pPr>
      <w:r>
        <w:rPr>
          <w:sz w:val="21"/>
          <w:szCs w:val="21"/>
        </w:rPr>
        <w:t xml:space="preserve">A one-page architecture summary: what was built, why, which layer (Bronze/Silver/Gold) it touches, and how it fits into the existing Medallion pipeline.</w:t>
      </w:r>
    </w:p>
    <w:p>
      <w:pPr>
        <w:pStyle w:val="ListParagraph"/>
        <w:numPr>
          <w:ilvl w:val="0"/>
          <w:numId w:val="2"/>
        </w:numPr>
        <w:spacing w:after="80"/>
      </w:pPr>
      <w:r>
        <w:rPr>
          <w:sz w:val="21"/>
          <w:szCs w:val="21"/>
        </w:rPr>
        <w:t xml:space="preserve">A README in the repo root covering setup, configuration, dependencies, and how to run the pipeline/job/agent end-to-end — written for an engineer who has never seen the code.</w:t>
      </w:r>
    </w:p>
    <w:p>
      <w:pPr>
        <w:pStyle w:val="ListParagraph"/>
        <w:numPr>
          <w:ilvl w:val="0"/>
          <w:numId w:val="2"/>
        </w:numPr>
        <w:spacing w:after="80"/>
      </w:pPr>
      <w:r>
        <w:rPr>
          <w:sz w:val="21"/>
          <w:szCs w:val="21"/>
        </w:rPr>
        <w:t xml:space="preserve">A runbook for anything with operational behavior: what a failure looks like, what the first three troubleshooting steps are, and who (internal) now owns triage.</w:t>
      </w:r>
    </w:p>
    <w:p>
      <w:pPr>
        <w:pStyle w:val="ListParagraph"/>
        <w:numPr>
          <w:ilvl w:val="0"/>
          <w:numId w:val="2"/>
        </w:numPr>
        <w:spacing w:after="80"/>
      </w:pPr>
      <w:r>
        <w:rPr>
          <w:sz w:val="21"/>
          <w:szCs w:val="21"/>
        </w:rPr>
        <w:t xml:space="preserve">A complete inventory of every object created: catalogs, schemas, tables, jobs, dashboards, secret scopes referenced (not secret values), and service principals used — mapped to an internal owner for each.</w:t>
      </w:r>
    </w:p>
    <w:p>
      <w:pPr>
        <w:pStyle w:val="ListParagraph"/>
        <w:numPr>
          <w:ilvl w:val="0"/>
          <w:numId w:val="2"/>
        </w:numPr>
        <w:spacing w:after="80"/>
      </w:pPr>
      <w:r>
        <w:rPr>
          <w:sz w:val="21"/>
          <w:szCs w:val="21"/>
        </w:rPr>
        <w:t xml:space="preserve">Any open issues, known limitations, or deliberately deferred work, stated explicitly rather than left for the next person to discover.</w:t>
      </w:r>
    </w:p>
    <w:p>
      <w:pPr>
        <w:pStyle w:val="ListParagraph"/>
        <w:numPr>
          <w:ilvl w:val="0"/>
          <w:numId w:val="2"/>
        </w:numPr>
        <w:spacing w:after="80"/>
      </w:pPr>
      <w:r>
        <w:rPr>
          <w:sz w:val="21"/>
          <w:szCs w:val="21"/>
        </w:rPr>
        <w:t xml:space="preserve">A recorded or live 30-45 minute knowledge-transfer walkthrough with the sponsor and at least one other internal engineer present, not just the sponsor alone.</w:t>
      </w:r>
    </w:p>
    <w:p>
      <w:pPr>
        <w:pStyle w:val="Heading2"/>
        <w:spacing w:after="120" w:before="280"/>
      </w:pPr>
      <w:r>
        <w:rPr>
          <w:b/>
          <w:bCs/>
          <w:color w:val="2E5395"/>
          <w:sz w:val="24"/>
          <w:szCs w:val="24"/>
        </w:rPr>
        <w:t xml:space="preserve">6.2 The rule that makes this enforceable</w:t>
      </w:r>
    </w:p>
    <w:p>
      <w:pPr>
        <w:spacing w:after="140" w:line="276"/>
      </w:pPr>
      <w:r>
        <w:rPr>
          <w:sz w:val="21"/>
          <w:szCs w:val="21"/>
        </w:rPr>
        <w:t xml:space="preserve">Access revocation and the handoff package are linked, not sequential. The guest's offboarding ticket does not close, and their final engagement sign-off is not given, until the Platform Lead has reviewed and accepted the handoff package. "We'll document it later" is the exact sentence that has produced every orphaned pipeline on this platform to date — this rule exists specifically to remove that option.</w:t>
      </w:r>
    </w:p>
    <w:p>
      <w:pPr>
        <w:pStyle w:val="Heading1"/>
        <w:pBdr>
          <w:bottom w:val="single" w:color="2E5395" w:sz="6" w:space="4"/>
        </w:pBdr>
        <w:spacing w:after="200" w:before="400"/>
      </w:pPr>
      <w:r>
        <w:rPr>
          <w:b/>
          <w:bCs/>
          <w:color w:val="1F3864"/>
          <w:sz w:val="28"/>
          <w:szCs w:val="28"/>
        </w:rPr>
        <w:t xml:space="preserve">7. Offboarding — What the Platform Lead Executes</w:t>
      </w:r>
    </w:p>
    <w:p>
      <w:pPr>
        <w:spacing w:after="140" w:line="276"/>
      </w:pPr>
      <w:r>
        <w:rPr>
          <w:sz w:val="21"/>
          <w:szCs w:val="21"/>
        </w:rPr>
        <w:t xml:space="preserve">Offboarding is a platform-owned action, not something triggered by the guest informing us they're done. It runs on the pre-agreed end date from Section 3.1 regardless of whether the guest reminds anyone.</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700"/>
        <w:gridCol w:w="6600"/>
        <w:gridCol w:w="2900"/>
      </w:tblGrid>
      <w:tr>
        <w:trPr>
          <w:tblHeader/>
        </w:trPr>
        <w:tc>
          <w:tcPr>
            <w:tcW w:type="dxa" w:w="700"/>
            <w:shd w:fill="2E5395" w:val="clear"/>
            <w:tcMar>
              <w:top w:type="dxa" w:w="80"/>
              <w:left w:type="dxa" w:w="100"/>
              <w:bottom w:type="dxa" w:w="80"/>
              <w:right w:type="dxa" w:w="100"/>
            </w:tcMar>
          </w:tcPr>
          <w:p>
            <w:pPr>
              <w:jc w:val="left"/>
            </w:pPr>
            <w:r>
              <w:rPr>
                <w:b/>
                <w:bCs/>
                <w:color w:val="FFFFFF"/>
                <w:sz w:val="19"/>
                <w:szCs w:val="19"/>
              </w:rPr>
              <w:t xml:space="preserve">Step</w:t>
            </w:r>
          </w:p>
        </w:tc>
        <w:tc>
          <w:tcPr>
            <w:tcW w:type="dxa" w:w="6600"/>
            <w:shd w:fill="2E5395" w:val="clear"/>
            <w:tcMar>
              <w:top w:type="dxa" w:w="80"/>
              <w:left w:type="dxa" w:w="100"/>
              <w:bottom w:type="dxa" w:w="80"/>
              <w:right w:type="dxa" w:w="100"/>
            </w:tcMar>
          </w:tcPr>
          <w:p>
            <w:pPr>
              <w:jc w:val="left"/>
            </w:pPr>
            <w:r>
              <w:rPr>
                <w:b/>
                <w:bCs/>
                <w:color w:val="FFFFFF"/>
                <w:sz w:val="19"/>
                <w:szCs w:val="19"/>
              </w:rPr>
              <w:t xml:space="preserve">Action</w:t>
            </w:r>
          </w:p>
        </w:tc>
        <w:tc>
          <w:tcPr>
            <w:tcW w:type="dxa" w:w="2900"/>
            <w:shd w:fill="2E5395" w:val="clear"/>
            <w:tcMar>
              <w:top w:type="dxa" w:w="80"/>
              <w:left w:type="dxa" w:w="100"/>
              <w:bottom w:type="dxa" w:w="80"/>
              <w:right w:type="dxa" w:w="100"/>
            </w:tcMar>
          </w:tcPr>
          <w:p>
            <w:pPr>
              <w:jc w:val="left"/>
            </w:pPr>
            <w:r>
              <w:rPr>
                <w:b/>
                <w:bCs/>
                <w:color w:val="FFFFFF"/>
                <w:sz w:val="19"/>
                <w:szCs w:val="19"/>
              </w:rPr>
              <w:t xml:space="preserve">Owner</w:t>
            </w:r>
          </w:p>
        </w:tc>
      </w:tr>
      <w:tr>
        <w:tc>
          <w:tcPr>
            <w:tcW w:type="dxa" w:w="700"/>
            <w:shd w:fill="FFFFFF" w:val="clear"/>
            <w:tcMar>
              <w:top w:type="dxa" w:w="80"/>
              <w:left w:type="dxa" w:w="100"/>
              <w:bottom w:type="dxa" w:w="80"/>
              <w:right w:type="dxa" w:w="100"/>
            </w:tcMar>
          </w:tcPr>
          <w:p>
            <w:pPr>
              <w:jc w:val="left"/>
            </w:pPr>
            <w:r>
              <w:rPr>
                <w:color w:val="000000"/>
                <w:sz w:val="19"/>
                <w:szCs w:val="19"/>
              </w:rPr>
              <w:t xml:space="preserve">1</w:t>
            </w:r>
          </w:p>
        </w:tc>
        <w:tc>
          <w:tcPr>
            <w:tcW w:type="dxa" w:w="6600"/>
            <w:shd w:fill="FFFFFF" w:val="clear"/>
            <w:tcMar>
              <w:top w:type="dxa" w:w="80"/>
              <w:left w:type="dxa" w:w="100"/>
              <w:bottom w:type="dxa" w:w="80"/>
              <w:right w:type="dxa" w:w="100"/>
            </w:tcMar>
          </w:tcPr>
          <w:p>
            <w:pPr>
              <w:jc w:val="left"/>
            </w:pPr>
            <w:r>
              <w:rPr>
                <w:color w:val="000000"/>
                <w:sz w:val="19"/>
                <w:szCs w:val="19"/>
              </w:rPr>
              <w:t xml:space="preserve">Confirm handoff package accepted (Section 6) — block on this before proceeding.</w:t>
            </w:r>
          </w:p>
        </w:tc>
        <w:tc>
          <w:tcPr>
            <w:tcW w:type="dxa" w:w="2900"/>
            <w:shd w:fill="FFFFFF" w:val="clear"/>
            <w:tcMar>
              <w:top w:type="dxa" w:w="80"/>
              <w:left w:type="dxa" w:w="100"/>
              <w:bottom w:type="dxa" w:w="80"/>
              <w:right w:type="dxa" w:w="100"/>
            </w:tcMar>
          </w:tcPr>
          <w:p>
            <w:pPr>
              <w:jc w:val="left"/>
            </w:pPr>
            <w:r>
              <w:rPr>
                <w:color w:val="000000"/>
                <w:sz w:val="19"/>
                <w:szCs w:val="19"/>
              </w:rPr>
              <w:t xml:space="preserve">Platform Lead</w:t>
            </w:r>
          </w:p>
        </w:tc>
      </w:tr>
      <w:tr>
        <w:tc>
          <w:tcPr>
            <w:tcW w:type="dxa" w:w="700"/>
            <w:shd w:fill="F2F2F2" w:val="clear"/>
            <w:tcMar>
              <w:top w:type="dxa" w:w="80"/>
              <w:left w:type="dxa" w:w="100"/>
              <w:bottom w:type="dxa" w:w="80"/>
              <w:right w:type="dxa" w:w="100"/>
            </w:tcMar>
          </w:tcPr>
          <w:p>
            <w:pPr>
              <w:jc w:val="left"/>
            </w:pPr>
            <w:r>
              <w:rPr>
                <w:color w:val="000000"/>
                <w:sz w:val="19"/>
                <w:szCs w:val="19"/>
              </w:rPr>
              <w:t xml:space="preserve">2</w:t>
            </w:r>
          </w:p>
        </w:tc>
        <w:tc>
          <w:tcPr>
            <w:tcW w:type="dxa" w:w="6600"/>
            <w:shd w:fill="F2F2F2" w:val="clear"/>
            <w:tcMar>
              <w:top w:type="dxa" w:w="80"/>
              <w:left w:type="dxa" w:w="100"/>
              <w:bottom w:type="dxa" w:w="80"/>
              <w:right w:type="dxa" w:w="100"/>
            </w:tcMar>
          </w:tcPr>
          <w:p>
            <w:pPr>
              <w:jc w:val="left"/>
            </w:pPr>
            <w:r>
              <w:rPr>
                <w:color w:val="000000"/>
                <w:sz w:val="19"/>
                <w:szCs w:val="19"/>
              </w:rPr>
              <w:t xml:space="preserve">Remove guest from all AAD guest persona groups — this cascades to all Unity Catalog grants issued via group.</w:t>
            </w:r>
          </w:p>
        </w:tc>
        <w:tc>
          <w:tcPr>
            <w:tcW w:type="dxa" w:w="2900"/>
            <w:shd w:fill="F2F2F2" w:val="clear"/>
            <w:tcMar>
              <w:top w:type="dxa" w:w="80"/>
              <w:left w:type="dxa" w:w="100"/>
              <w:bottom w:type="dxa" w:w="80"/>
              <w:right w:type="dxa" w:w="100"/>
            </w:tcMar>
          </w:tcPr>
          <w:p>
            <w:pPr>
              <w:jc w:val="left"/>
            </w:pPr>
            <w:r>
              <w:rPr>
                <w:color w:val="000000"/>
                <w:sz w:val="19"/>
                <w:szCs w:val="19"/>
              </w:rPr>
              <w:t xml:space="preserve">Platform Lead</w:t>
            </w:r>
          </w:p>
        </w:tc>
      </w:tr>
      <w:tr>
        <w:tc>
          <w:tcPr>
            <w:tcW w:type="dxa" w:w="700"/>
            <w:shd w:fill="FFFFFF" w:val="clear"/>
            <w:tcMar>
              <w:top w:type="dxa" w:w="80"/>
              <w:left w:type="dxa" w:w="100"/>
              <w:bottom w:type="dxa" w:w="80"/>
              <w:right w:type="dxa" w:w="100"/>
            </w:tcMar>
          </w:tcPr>
          <w:p>
            <w:pPr>
              <w:jc w:val="left"/>
            </w:pPr>
            <w:r>
              <w:rPr>
                <w:color w:val="000000"/>
                <w:sz w:val="19"/>
                <w:szCs w:val="19"/>
              </w:rPr>
              <w:t xml:space="preserve">3</w:t>
            </w:r>
          </w:p>
        </w:tc>
        <w:tc>
          <w:tcPr>
            <w:tcW w:type="dxa" w:w="6600"/>
            <w:shd w:fill="FFFFFF" w:val="clear"/>
            <w:tcMar>
              <w:top w:type="dxa" w:w="80"/>
              <w:left w:type="dxa" w:w="100"/>
              <w:bottom w:type="dxa" w:w="80"/>
              <w:right w:type="dxa" w:w="100"/>
            </w:tcMar>
          </w:tcPr>
          <w:p>
            <w:pPr>
              <w:jc w:val="left"/>
            </w:pPr>
            <w:r>
              <w:rPr>
                <w:color w:val="000000"/>
                <w:sz w:val="19"/>
                <w:szCs w:val="19"/>
              </w:rPr>
              <w:t xml:space="preserve">Revoke and rotate any PATs, service principal credentials, or secrets the guest had access to, even if "already expired."</w:t>
            </w:r>
          </w:p>
        </w:tc>
        <w:tc>
          <w:tcPr>
            <w:tcW w:type="dxa" w:w="2900"/>
            <w:shd w:fill="FFFFFF" w:val="clear"/>
            <w:tcMar>
              <w:top w:type="dxa" w:w="80"/>
              <w:left w:type="dxa" w:w="100"/>
              <w:bottom w:type="dxa" w:w="80"/>
              <w:right w:type="dxa" w:w="100"/>
            </w:tcMar>
          </w:tcPr>
          <w:p>
            <w:pPr>
              <w:jc w:val="left"/>
            </w:pPr>
            <w:r>
              <w:rPr>
                <w:color w:val="000000"/>
                <w:sz w:val="19"/>
                <w:szCs w:val="19"/>
              </w:rPr>
              <w:t xml:space="preserve">Platform Lead</w:t>
            </w:r>
          </w:p>
        </w:tc>
      </w:tr>
      <w:tr>
        <w:tc>
          <w:tcPr>
            <w:tcW w:type="dxa" w:w="700"/>
            <w:shd w:fill="F2F2F2" w:val="clear"/>
            <w:tcMar>
              <w:top w:type="dxa" w:w="80"/>
              <w:left w:type="dxa" w:w="100"/>
              <w:bottom w:type="dxa" w:w="80"/>
              <w:right w:type="dxa" w:w="100"/>
            </w:tcMar>
          </w:tcPr>
          <w:p>
            <w:pPr>
              <w:jc w:val="left"/>
            </w:pPr>
            <w:r>
              <w:rPr>
                <w:color w:val="000000"/>
                <w:sz w:val="19"/>
                <w:szCs w:val="19"/>
              </w:rPr>
              <w:t xml:space="preserve">4</w:t>
            </w:r>
          </w:p>
        </w:tc>
        <w:tc>
          <w:tcPr>
            <w:tcW w:type="dxa" w:w="6600"/>
            <w:shd w:fill="F2F2F2" w:val="clear"/>
            <w:tcMar>
              <w:top w:type="dxa" w:w="80"/>
              <w:left w:type="dxa" w:w="100"/>
              <w:bottom w:type="dxa" w:w="80"/>
              <w:right w:type="dxa" w:w="100"/>
            </w:tcMar>
          </w:tcPr>
          <w:p>
            <w:pPr>
              <w:jc w:val="left"/>
            </w:pPr>
            <w:r>
              <w:rPr>
                <w:color w:val="000000"/>
                <w:sz w:val="19"/>
                <w:szCs w:val="19"/>
              </w:rPr>
              <w:t xml:space="preserve">Reassign ownership of every created object (jobs, dashboards, schemas) to a named internal engineer — no object stays owned by a departed guest identity.</w:t>
            </w:r>
          </w:p>
        </w:tc>
        <w:tc>
          <w:tcPr>
            <w:tcW w:type="dxa" w:w="2900"/>
            <w:shd w:fill="F2F2F2" w:val="clear"/>
            <w:tcMar>
              <w:top w:type="dxa" w:w="80"/>
              <w:left w:type="dxa" w:w="100"/>
              <w:bottom w:type="dxa" w:w="80"/>
              <w:right w:type="dxa" w:w="100"/>
            </w:tcMar>
          </w:tcPr>
          <w:p>
            <w:pPr>
              <w:jc w:val="left"/>
            </w:pPr>
            <w:r>
              <w:rPr>
                <w:color w:val="000000"/>
                <w:sz w:val="19"/>
                <w:szCs w:val="19"/>
              </w:rPr>
              <w:t xml:space="preserve">Sponsor + Platform Lead</w:t>
            </w:r>
          </w:p>
        </w:tc>
      </w:tr>
      <w:tr>
        <w:tc>
          <w:tcPr>
            <w:tcW w:type="dxa" w:w="700"/>
            <w:shd w:fill="FFFFFF" w:val="clear"/>
            <w:tcMar>
              <w:top w:type="dxa" w:w="80"/>
              <w:left w:type="dxa" w:w="100"/>
              <w:bottom w:type="dxa" w:w="80"/>
              <w:right w:type="dxa" w:w="100"/>
            </w:tcMar>
          </w:tcPr>
          <w:p>
            <w:pPr>
              <w:jc w:val="left"/>
            </w:pPr>
            <w:r>
              <w:rPr>
                <w:color w:val="000000"/>
                <w:sz w:val="19"/>
                <w:szCs w:val="19"/>
              </w:rPr>
              <w:t xml:space="preserve">5</w:t>
            </w:r>
          </w:p>
        </w:tc>
        <w:tc>
          <w:tcPr>
            <w:tcW w:type="dxa" w:w="6600"/>
            <w:shd w:fill="FFFFFF" w:val="clear"/>
            <w:tcMar>
              <w:top w:type="dxa" w:w="80"/>
              <w:left w:type="dxa" w:w="100"/>
              <w:bottom w:type="dxa" w:w="80"/>
              <w:right w:type="dxa" w:w="100"/>
            </w:tcMar>
          </w:tcPr>
          <w:p>
            <w:pPr>
              <w:jc w:val="left"/>
            </w:pPr>
            <w:r>
              <w:rPr>
                <w:color w:val="000000"/>
                <w:sz w:val="19"/>
                <w:szCs w:val="19"/>
              </w:rPr>
              <w:t xml:space="preserve">Run a dormant-grant and orphaned-object sweep 30 days post-offboarding to catch anything the group-removal cascade missed.</w:t>
            </w:r>
          </w:p>
        </w:tc>
        <w:tc>
          <w:tcPr>
            <w:tcW w:type="dxa" w:w="2900"/>
            <w:shd w:fill="FFFFFF" w:val="clear"/>
            <w:tcMar>
              <w:top w:type="dxa" w:w="80"/>
              <w:left w:type="dxa" w:w="100"/>
              <w:bottom w:type="dxa" w:w="80"/>
              <w:right w:type="dxa" w:w="100"/>
            </w:tcMar>
          </w:tcPr>
          <w:p>
            <w:pPr>
              <w:jc w:val="left"/>
            </w:pPr>
            <w:r>
              <w:rPr>
                <w:color w:val="000000"/>
                <w:sz w:val="19"/>
                <w:szCs w:val="19"/>
              </w:rPr>
              <w:t xml:space="preserve">Platform Lead</w:t>
            </w:r>
          </w:p>
        </w:tc>
      </w:tr>
      <w:tr>
        <w:tc>
          <w:tcPr>
            <w:tcW w:type="dxa" w:w="700"/>
            <w:shd w:fill="F2F2F2" w:val="clear"/>
            <w:tcMar>
              <w:top w:type="dxa" w:w="80"/>
              <w:left w:type="dxa" w:w="100"/>
              <w:bottom w:type="dxa" w:w="80"/>
              <w:right w:type="dxa" w:w="100"/>
            </w:tcMar>
          </w:tcPr>
          <w:p>
            <w:pPr>
              <w:jc w:val="left"/>
            </w:pPr>
            <w:r>
              <w:rPr>
                <w:color w:val="000000"/>
                <w:sz w:val="19"/>
                <w:szCs w:val="19"/>
              </w:rPr>
              <w:t xml:space="preserve">6</w:t>
            </w:r>
          </w:p>
        </w:tc>
        <w:tc>
          <w:tcPr>
            <w:tcW w:type="dxa" w:w="6600"/>
            <w:shd w:fill="F2F2F2" w:val="clear"/>
            <w:tcMar>
              <w:top w:type="dxa" w:w="80"/>
              <w:left w:type="dxa" w:w="100"/>
              <w:bottom w:type="dxa" w:w="80"/>
              <w:right w:type="dxa" w:w="100"/>
            </w:tcMar>
          </w:tcPr>
          <w:p>
            <w:pPr>
              <w:jc w:val="left"/>
            </w:pPr>
            <w:r>
              <w:rPr>
                <w:color w:val="000000"/>
                <w:sz w:val="19"/>
                <w:szCs w:val="19"/>
              </w:rPr>
              <w:t xml:space="preserve">Log the engagement closure: persona, duration, deliverable, handoff package link, sign-off date — for audit trail.</w:t>
            </w:r>
          </w:p>
        </w:tc>
        <w:tc>
          <w:tcPr>
            <w:tcW w:type="dxa" w:w="2900"/>
            <w:shd w:fill="F2F2F2" w:val="clear"/>
            <w:tcMar>
              <w:top w:type="dxa" w:w="80"/>
              <w:left w:type="dxa" w:w="100"/>
              <w:bottom w:type="dxa" w:w="80"/>
              <w:right w:type="dxa" w:w="100"/>
            </w:tcMar>
          </w:tcPr>
          <w:p>
            <w:pPr>
              <w:jc w:val="left"/>
            </w:pPr>
            <w:r>
              <w:rPr>
                <w:color w:val="000000"/>
                <w:sz w:val="19"/>
                <w:szCs w:val="19"/>
              </w:rPr>
              <w:t xml:space="preserve">Platform Lead</w:t>
            </w:r>
          </w:p>
        </w:tc>
      </w:tr>
    </w:tbl>
    <w:p>
      <w:pPr>
        <w:pStyle w:val="Heading1"/>
        <w:pBdr>
          <w:bottom w:val="single" w:color="2E5395" w:sz="6" w:space="4"/>
        </w:pBdr>
        <w:spacing w:after="200" w:before="400"/>
      </w:pPr>
      <w:r>
        <w:rPr>
          <w:b/>
          <w:bCs/>
          <w:color w:val="1F3864"/>
          <w:sz w:val="28"/>
          <w:szCs w:val="28"/>
        </w:rPr>
        <w:t xml:space="preserve">8. Ongoing Governance — How This Gets Enforced, Not Just Stated</w:t>
      </w:r>
    </w:p>
    <w:p>
      <w:pPr>
        <w:spacing w:after="140" w:line="276"/>
      </w:pPr>
      <w:r>
        <w:rPr>
          <w:sz w:val="21"/>
          <w:szCs w:val="21"/>
        </w:rPr>
        <w:t xml:space="preserve">A policy that only exists on paper is not a policy. The following detection patterns run continuously against all guest-originated identities and grants, independent of whether the engagement is officially "active":</w:t>
      </w:r>
    </w:p>
    <w:p>
      <w:pPr>
        <w:pStyle w:val="ListParagraph"/>
        <w:numPr>
          <w:ilvl w:val="0"/>
          <w:numId w:val="1"/>
        </w:numPr>
        <w:spacing w:after="80"/>
      </w:pPr>
      <w:r>
        <w:rPr>
          <w:sz w:val="21"/>
          <w:szCs w:val="21"/>
        </w:rPr>
        <w:t xml:space="preserve">Vendor / service-principal lifecycle checks — flags guest and vendor SPs that remain active past their stated engagement end date.</w:t>
      </w:r>
    </w:p>
    <w:p>
      <w:pPr>
        <w:pStyle w:val="ListParagraph"/>
        <w:numPr>
          <w:ilvl w:val="0"/>
          <w:numId w:val="1"/>
        </w:numPr>
        <w:spacing w:after="80"/>
      </w:pPr>
      <w:r>
        <w:rPr>
          <w:sz w:val="21"/>
          <w:szCs w:val="21"/>
        </w:rPr>
        <w:t xml:space="preserve">Personal PAT detection in pipelines — flags any production or shared pipeline referencing a personally-issued token instead of a managed secret scope.</w:t>
      </w:r>
    </w:p>
    <w:p>
      <w:pPr>
        <w:pStyle w:val="ListParagraph"/>
        <w:numPr>
          <w:ilvl w:val="0"/>
          <w:numId w:val="1"/>
        </w:numPr>
        <w:spacing w:after="80"/>
      </w:pPr>
      <w:r>
        <w:rPr>
          <w:sz w:val="21"/>
          <w:szCs w:val="21"/>
        </w:rPr>
        <w:t xml:space="preserve">PAT age and rotation tracking — flags any guest-associated token exceeding the 30-day threshold from Section 3.2.</w:t>
      </w:r>
    </w:p>
    <w:p>
      <w:pPr>
        <w:pStyle w:val="ListParagraph"/>
        <w:numPr>
          <w:ilvl w:val="0"/>
          <w:numId w:val="1"/>
        </w:numPr>
        <w:spacing w:after="80"/>
      </w:pPr>
      <w:r>
        <w:rPr>
          <w:sz w:val="21"/>
          <w:szCs w:val="21"/>
        </w:rPr>
        <w:t xml:space="preserve">Dormant grant detection — flags Unity Catalog grants with no query activity for 30+ days, which is the leading indicator of an offboarding that missed a step.</w:t>
      </w:r>
    </w:p>
    <w:p>
      <w:pPr>
        <w:pStyle w:val="ListParagraph"/>
        <w:numPr>
          <w:ilvl w:val="0"/>
          <w:numId w:val="1"/>
        </w:numPr>
        <w:spacing w:after="80"/>
      </w:pPr>
      <w:r>
        <w:rPr>
          <w:sz w:val="21"/>
          <w:szCs w:val="21"/>
        </w:rPr>
        <w:t xml:space="preserve">Cross-environment leakage checks — flags any guest identity or object reference crossing from Dev/UAT into Prod scope.</w:t>
      </w:r>
    </w:p>
    <w:p>
      <w:pPr>
        <w:pStyle w:val="ListParagraph"/>
        <w:numPr>
          <w:ilvl w:val="0"/>
          <w:numId w:val="1"/>
        </w:numPr>
        <w:spacing w:after="80"/>
      </w:pPr>
      <w:r>
        <w:rPr>
          <w:sz w:val="21"/>
          <w:szCs w:val="21"/>
        </w:rPr>
        <w:t xml:space="preserve">Grant velocity anomaly detection — flags unusually rapid or broad grant issuance to a single guest identity, which is the fastest way scope creep becomes a real exposure.</w:t>
      </w:r>
    </w:p>
    <w:p>
      <w:pPr>
        <w:spacing w:after="140" w:line="276"/>
      </w:pPr>
      <w:r>
        <w:rPr>
          <w:sz w:val="21"/>
          <w:szCs w:val="21"/>
        </w:rPr>
        <w:t xml:space="preserve">These map directly to the detection modules already built for the platform's security governance pipeline. Guest lifecycle hygiene isn't a separate initiative from that work — it's the primary use case that pipeline exists to catch.</w:t>
      </w:r>
    </w:p>
    <w:p>
      <w:pPr>
        <w:pStyle w:val="Heading1"/>
        <w:pBdr>
          <w:bottom w:val="single" w:color="2E5395" w:sz="6" w:space="4"/>
        </w:pBdr>
        <w:spacing w:after="200" w:before="400"/>
      </w:pPr>
      <w:r>
        <w:rPr>
          <w:b/>
          <w:bCs/>
          <w:color w:val="1F3864"/>
          <w:sz w:val="28"/>
          <w:szCs w:val="28"/>
        </w:rPr>
        <w:t xml:space="preserve">9. Roles and Accountability (RACI)</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3600"/>
        <w:gridCol w:w="1800"/>
        <w:gridCol w:w="1800"/>
        <w:gridCol w:w="3000"/>
      </w:tblGrid>
      <w:tr>
        <w:trPr>
          <w:tblHeader/>
        </w:trPr>
        <w:tc>
          <w:tcPr>
            <w:tcW w:type="dxa" w:w="3600"/>
            <w:shd w:fill="2E5395" w:val="clear"/>
            <w:tcMar>
              <w:top w:type="dxa" w:w="80"/>
              <w:left w:type="dxa" w:w="100"/>
              <w:bottom w:type="dxa" w:w="80"/>
              <w:right w:type="dxa" w:w="100"/>
            </w:tcMar>
          </w:tcPr>
          <w:p>
            <w:pPr>
              <w:jc w:val="left"/>
            </w:pPr>
            <w:r>
              <w:rPr>
                <w:b/>
                <w:bCs/>
                <w:color w:val="FFFFFF"/>
                <w:sz w:val="19"/>
                <w:szCs w:val="19"/>
              </w:rPr>
              <w:t xml:space="preserve">Activity</w:t>
            </w:r>
          </w:p>
        </w:tc>
        <w:tc>
          <w:tcPr>
            <w:tcW w:type="dxa" w:w="1800"/>
            <w:shd w:fill="2E5395" w:val="clear"/>
            <w:tcMar>
              <w:top w:type="dxa" w:w="80"/>
              <w:left w:type="dxa" w:w="100"/>
              <w:bottom w:type="dxa" w:w="80"/>
              <w:right w:type="dxa" w:w="100"/>
            </w:tcMar>
          </w:tcPr>
          <w:p>
            <w:pPr>
              <w:jc w:val="left"/>
            </w:pPr>
            <w:r>
              <w:rPr>
                <w:b/>
                <w:bCs/>
                <w:color w:val="FFFFFF"/>
                <w:sz w:val="19"/>
                <w:szCs w:val="19"/>
              </w:rPr>
              <w:t xml:space="preserve">Guest</w:t>
            </w:r>
          </w:p>
        </w:tc>
        <w:tc>
          <w:tcPr>
            <w:tcW w:type="dxa" w:w="1800"/>
            <w:shd w:fill="2E5395" w:val="clear"/>
            <w:tcMar>
              <w:top w:type="dxa" w:w="80"/>
              <w:left w:type="dxa" w:w="100"/>
              <w:bottom w:type="dxa" w:w="80"/>
              <w:right w:type="dxa" w:w="100"/>
            </w:tcMar>
          </w:tcPr>
          <w:p>
            <w:pPr>
              <w:jc w:val="left"/>
            </w:pPr>
            <w:r>
              <w:rPr>
                <w:b/>
                <w:bCs/>
                <w:color w:val="FFFFFF"/>
                <w:sz w:val="19"/>
                <w:szCs w:val="19"/>
              </w:rPr>
              <w:t xml:space="preserve">Sponsor</w:t>
            </w:r>
          </w:p>
        </w:tc>
        <w:tc>
          <w:tcPr>
            <w:tcW w:type="dxa" w:w="3000"/>
            <w:shd w:fill="2E5395" w:val="clear"/>
            <w:tcMar>
              <w:top w:type="dxa" w:w="80"/>
              <w:left w:type="dxa" w:w="100"/>
              <w:bottom w:type="dxa" w:w="80"/>
              <w:right w:type="dxa" w:w="100"/>
            </w:tcMar>
          </w:tcPr>
          <w:p>
            <w:pPr>
              <w:jc w:val="left"/>
            </w:pPr>
            <w:r>
              <w:rPr>
                <w:b/>
                <w:bCs/>
                <w:color w:val="FFFFFF"/>
                <w:sz w:val="19"/>
                <w:szCs w:val="19"/>
              </w:rPr>
              <w:t xml:space="preserve">Platform Lead</w:t>
            </w:r>
          </w:p>
        </w:tc>
      </w:tr>
      <w:tr>
        <w:tc>
          <w:tcPr>
            <w:tcW w:type="dxa" w:w="3600"/>
            <w:shd w:fill="FFFFFF" w:val="clear"/>
            <w:tcMar>
              <w:top w:type="dxa" w:w="80"/>
              <w:left w:type="dxa" w:w="100"/>
              <w:bottom w:type="dxa" w:w="80"/>
              <w:right w:type="dxa" w:w="100"/>
            </w:tcMar>
          </w:tcPr>
          <w:p>
            <w:pPr>
              <w:jc w:val="left"/>
            </w:pPr>
            <w:r>
              <w:rPr>
                <w:color w:val="000000"/>
                <w:sz w:val="19"/>
                <w:szCs w:val="19"/>
              </w:rPr>
              <w:t xml:space="preserve">Requesting access / defining scope</w:t>
            </w:r>
          </w:p>
        </w:tc>
        <w:tc>
          <w:tcPr>
            <w:tcW w:type="dxa" w:w="1800"/>
            <w:shd w:fill="FFFFFF" w:val="clear"/>
            <w:tcMar>
              <w:top w:type="dxa" w:w="80"/>
              <w:left w:type="dxa" w:w="100"/>
              <w:bottom w:type="dxa" w:w="80"/>
              <w:right w:type="dxa" w:w="100"/>
            </w:tcMar>
          </w:tcPr>
          <w:p>
            <w:pPr>
              <w:jc w:val="left"/>
            </w:pPr>
            <w:r>
              <w:rPr>
                <w:color w:val="000000"/>
                <w:sz w:val="19"/>
                <w:szCs w:val="19"/>
              </w:rPr>
              <w:t xml:space="preserve">Informs</w:t>
            </w:r>
          </w:p>
        </w:tc>
        <w:tc>
          <w:tcPr>
            <w:tcW w:type="dxa" w:w="1800"/>
            <w:shd w:fill="FFFFFF" w:val="clear"/>
            <w:tcMar>
              <w:top w:type="dxa" w:w="80"/>
              <w:left w:type="dxa" w:w="100"/>
              <w:bottom w:type="dxa" w:w="80"/>
              <w:right w:type="dxa" w:w="100"/>
            </w:tcMar>
          </w:tcPr>
          <w:p>
            <w:pPr>
              <w:jc w:val="left"/>
            </w:pPr>
            <w:r>
              <w:rPr>
                <w:color w:val="000000"/>
                <w:sz w:val="19"/>
                <w:szCs w:val="19"/>
              </w:rPr>
              <w:t xml:space="preserve">Responsible</w:t>
            </w:r>
          </w:p>
        </w:tc>
        <w:tc>
          <w:tcPr>
            <w:tcW w:type="dxa" w:w="3000"/>
            <w:shd w:fill="FFFFFF" w:val="clear"/>
            <w:tcMar>
              <w:top w:type="dxa" w:w="80"/>
              <w:left w:type="dxa" w:w="100"/>
              <w:bottom w:type="dxa" w:w="80"/>
              <w:right w:type="dxa" w:w="100"/>
            </w:tcMar>
          </w:tcPr>
          <w:p>
            <w:pPr>
              <w:jc w:val="left"/>
            </w:pPr>
            <w:r>
              <w:rPr>
                <w:color w:val="000000"/>
                <w:sz w:val="19"/>
                <w:szCs w:val="19"/>
              </w:rPr>
              <w:t xml:space="preserve">Approves</w:t>
            </w:r>
          </w:p>
        </w:tc>
      </w:tr>
      <w:tr>
        <w:tc>
          <w:tcPr>
            <w:tcW w:type="dxa" w:w="3600"/>
            <w:shd w:fill="F2F2F2" w:val="clear"/>
            <w:tcMar>
              <w:top w:type="dxa" w:w="80"/>
              <w:left w:type="dxa" w:w="100"/>
              <w:bottom w:type="dxa" w:w="80"/>
              <w:right w:type="dxa" w:w="100"/>
            </w:tcMar>
          </w:tcPr>
          <w:p>
            <w:pPr>
              <w:jc w:val="left"/>
            </w:pPr>
            <w:r>
              <w:rPr>
                <w:color w:val="000000"/>
                <w:sz w:val="19"/>
                <w:szCs w:val="19"/>
              </w:rPr>
              <w:t xml:space="preserve">Following code, secret, and naming standards</w:t>
            </w:r>
          </w:p>
        </w:tc>
        <w:tc>
          <w:tcPr>
            <w:tcW w:type="dxa" w:w="1800"/>
            <w:shd w:fill="F2F2F2" w:val="clear"/>
            <w:tcMar>
              <w:top w:type="dxa" w:w="80"/>
              <w:left w:type="dxa" w:w="100"/>
              <w:bottom w:type="dxa" w:w="80"/>
              <w:right w:type="dxa" w:w="100"/>
            </w:tcMar>
          </w:tcPr>
          <w:p>
            <w:pPr>
              <w:jc w:val="left"/>
            </w:pPr>
            <w:r>
              <w:rPr>
                <w:color w:val="000000"/>
                <w:sz w:val="19"/>
                <w:szCs w:val="19"/>
              </w:rPr>
              <w:t xml:space="preserve">Responsible</w:t>
            </w:r>
          </w:p>
        </w:tc>
        <w:tc>
          <w:tcPr>
            <w:tcW w:type="dxa" w:w="1800"/>
            <w:shd w:fill="F2F2F2" w:val="clear"/>
            <w:tcMar>
              <w:top w:type="dxa" w:w="80"/>
              <w:left w:type="dxa" w:w="100"/>
              <w:bottom w:type="dxa" w:w="80"/>
              <w:right w:type="dxa" w:w="100"/>
            </w:tcMar>
          </w:tcPr>
          <w:p>
            <w:pPr>
              <w:jc w:val="left"/>
            </w:pPr>
            <w:r>
              <w:rPr>
                <w:color w:val="000000"/>
                <w:sz w:val="19"/>
                <w:szCs w:val="19"/>
              </w:rPr>
              <w:t xml:space="preserve">Consulted</w:t>
            </w:r>
          </w:p>
        </w:tc>
        <w:tc>
          <w:tcPr>
            <w:tcW w:type="dxa" w:w="3000"/>
            <w:shd w:fill="F2F2F2" w:val="clear"/>
            <w:tcMar>
              <w:top w:type="dxa" w:w="80"/>
              <w:left w:type="dxa" w:w="100"/>
              <w:bottom w:type="dxa" w:w="80"/>
              <w:right w:type="dxa" w:w="100"/>
            </w:tcMar>
          </w:tcPr>
          <w:p>
            <w:pPr>
              <w:jc w:val="left"/>
            </w:pPr>
            <w:r>
              <w:rPr>
                <w:color w:val="000000"/>
                <w:sz w:val="19"/>
                <w:szCs w:val="19"/>
              </w:rPr>
              <w:t xml:space="preserve">Accountable</w:t>
            </w:r>
          </w:p>
        </w:tc>
      </w:tr>
      <w:tr>
        <w:tc>
          <w:tcPr>
            <w:tcW w:type="dxa" w:w="3600"/>
            <w:shd w:fill="FFFFFF" w:val="clear"/>
            <w:tcMar>
              <w:top w:type="dxa" w:w="80"/>
              <w:left w:type="dxa" w:w="100"/>
              <w:bottom w:type="dxa" w:w="80"/>
              <w:right w:type="dxa" w:w="100"/>
            </w:tcMar>
          </w:tcPr>
          <w:p>
            <w:pPr>
              <w:jc w:val="left"/>
            </w:pPr>
            <w:r>
              <w:rPr>
                <w:color w:val="000000"/>
                <w:sz w:val="19"/>
                <w:szCs w:val="19"/>
              </w:rPr>
              <w:t xml:space="preserve">Producing handoff package</w:t>
            </w:r>
          </w:p>
        </w:tc>
        <w:tc>
          <w:tcPr>
            <w:tcW w:type="dxa" w:w="1800"/>
            <w:shd w:fill="FFFFFF" w:val="clear"/>
            <w:tcMar>
              <w:top w:type="dxa" w:w="80"/>
              <w:left w:type="dxa" w:w="100"/>
              <w:bottom w:type="dxa" w:w="80"/>
              <w:right w:type="dxa" w:w="100"/>
            </w:tcMar>
          </w:tcPr>
          <w:p>
            <w:pPr>
              <w:jc w:val="left"/>
            </w:pPr>
            <w:r>
              <w:rPr>
                <w:color w:val="000000"/>
                <w:sz w:val="19"/>
                <w:szCs w:val="19"/>
              </w:rPr>
              <w:t xml:space="preserve">Responsible</w:t>
            </w:r>
          </w:p>
        </w:tc>
        <w:tc>
          <w:tcPr>
            <w:tcW w:type="dxa" w:w="1800"/>
            <w:shd w:fill="FFFFFF" w:val="clear"/>
            <w:tcMar>
              <w:top w:type="dxa" w:w="80"/>
              <w:left w:type="dxa" w:w="100"/>
              <w:bottom w:type="dxa" w:w="80"/>
              <w:right w:type="dxa" w:w="100"/>
            </w:tcMar>
          </w:tcPr>
          <w:p>
            <w:pPr>
              <w:jc w:val="left"/>
            </w:pPr>
            <w:r>
              <w:rPr>
                <w:color w:val="000000"/>
                <w:sz w:val="19"/>
                <w:szCs w:val="19"/>
              </w:rPr>
              <w:t xml:space="preserve">Accountable</w:t>
            </w:r>
          </w:p>
        </w:tc>
        <w:tc>
          <w:tcPr>
            <w:tcW w:type="dxa" w:w="3000"/>
            <w:shd w:fill="FFFFFF" w:val="clear"/>
            <w:tcMar>
              <w:top w:type="dxa" w:w="80"/>
              <w:left w:type="dxa" w:w="100"/>
              <w:bottom w:type="dxa" w:w="80"/>
              <w:right w:type="dxa" w:w="100"/>
            </w:tcMar>
          </w:tcPr>
          <w:p>
            <w:pPr>
              <w:jc w:val="left"/>
            </w:pPr>
            <w:r>
              <w:rPr>
                <w:color w:val="000000"/>
                <w:sz w:val="19"/>
                <w:szCs w:val="19"/>
              </w:rPr>
              <w:t xml:space="preserve">Reviews / Approves</w:t>
            </w:r>
          </w:p>
        </w:tc>
      </w:tr>
      <w:tr>
        <w:tc>
          <w:tcPr>
            <w:tcW w:type="dxa" w:w="3600"/>
            <w:shd w:fill="F2F2F2" w:val="clear"/>
            <w:tcMar>
              <w:top w:type="dxa" w:w="80"/>
              <w:left w:type="dxa" w:w="100"/>
              <w:bottom w:type="dxa" w:w="80"/>
              <w:right w:type="dxa" w:w="100"/>
            </w:tcMar>
          </w:tcPr>
          <w:p>
            <w:pPr>
              <w:jc w:val="left"/>
            </w:pPr>
            <w:r>
              <w:rPr>
                <w:color w:val="000000"/>
                <w:sz w:val="19"/>
                <w:szCs w:val="19"/>
              </w:rPr>
              <w:t xml:space="preserve">Prod changes based on guest's work</w:t>
            </w:r>
          </w:p>
        </w:tc>
        <w:tc>
          <w:tcPr>
            <w:tcW w:type="dxa" w:w="1800"/>
            <w:shd w:fill="F2F2F2" w:val="clear"/>
            <w:tcMar>
              <w:top w:type="dxa" w:w="80"/>
              <w:left w:type="dxa" w:w="100"/>
              <w:bottom w:type="dxa" w:w="80"/>
              <w:right w:type="dxa" w:w="100"/>
            </w:tcMar>
          </w:tcPr>
          <w:p>
            <w:pPr>
              <w:jc w:val="left"/>
            </w:pPr>
            <w:r>
              <w:rPr>
                <w:color w:val="000000"/>
                <w:sz w:val="19"/>
                <w:szCs w:val="19"/>
              </w:rPr>
              <w:t xml:space="preserve">Consulted</w:t>
            </w:r>
          </w:p>
        </w:tc>
        <w:tc>
          <w:tcPr>
            <w:tcW w:type="dxa" w:w="1800"/>
            <w:shd w:fill="F2F2F2" w:val="clear"/>
            <w:tcMar>
              <w:top w:type="dxa" w:w="80"/>
              <w:left w:type="dxa" w:w="100"/>
              <w:bottom w:type="dxa" w:w="80"/>
              <w:right w:type="dxa" w:w="100"/>
            </w:tcMar>
          </w:tcPr>
          <w:p>
            <w:pPr>
              <w:jc w:val="left"/>
            </w:pPr>
            <w:r>
              <w:rPr>
                <w:color w:val="000000"/>
                <w:sz w:val="19"/>
                <w:szCs w:val="19"/>
              </w:rPr>
              <w:t xml:space="preserve">Informed</w:t>
            </w:r>
          </w:p>
        </w:tc>
        <w:tc>
          <w:tcPr>
            <w:tcW w:type="dxa" w:w="3000"/>
            <w:shd w:fill="F2F2F2" w:val="clear"/>
            <w:tcMar>
              <w:top w:type="dxa" w:w="80"/>
              <w:left w:type="dxa" w:w="100"/>
              <w:bottom w:type="dxa" w:w="80"/>
              <w:right w:type="dxa" w:w="100"/>
            </w:tcMar>
          </w:tcPr>
          <w:p>
            <w:pPr>
              <w:jc w:val="left"/>
            </w:pPr>
            <w:r>
              <w:rPr>
                <w:color w:val="000000"/>
                <w:sz w:val="19"/>
                <w:szCs w:val="19"/>
              </w:rPr>
              <w:t xml:space="preserve">Responsible</w:t>
            </w:r>
          </w:p>
        </w:tc>
      </w:tr>
      <w:tr>
        <w:tc>
          <w:tcPr>
            <w:tcW w:type="dxa" w:w="3600"/>
            <w:shd w:fill="FFFFFF" w:val="clear"/>
            <w:tcMar>
              <w:top w:type="dxa" w:w="80"/>
              <w:left w:type="dxa" w:w="100"/>
              <w:bottom w:type="dxa" w:w="80"/>
              <w:right w:type="dxa" w:w="100"/>
            </w:tcMar>
          </w:tcPr>
          <w:p>
            <w:pPr>
              <w:jc w:val="left"/>
            </w:pPr>
            <w:r>
              <w:rPr>
                <w:color w:val="000000"/>
                <w:sz w:val="19"/>
                <w:szCs w:val="19"/>
              </w:rPr>
              <w:t xml:space="preserve">Access revocation and credential rotation</w:t>
            </w:r>
          </w:p>
        </w:tc>
        <w:tc>
          <w:tcPr>
            <w:tcW w:type="dxa" w:w="1800"/>
            <w:shd w:fill="FFFFFF" w:val="clear"/>
            <w:tcMar>
              <w:top w:type="dxa" w:w="80"/>
              <w:left w:type="dxa" w:w="100"/>
              <w:bottom w:type="dxa" w:w="80"/>
              <w:right w:type="dxa" w:w="100"/>
            </w:tcMar>
          </w:tcPr>
          <w:p>
            <w:pPr>
              <w:jc w:val="left"/>
            </w:pPr>
            <w:r>
              <w:rPr>
                <w:color w:val="000000"/>
                <w:sz w:val="19"/>
                <w:szCs w:val="19"/>
              </w:rPr>
              <w:t xml:space="preserve">Informed</w:t>
            </w:r>
          </w:p>
        </w:tc>
        <w:tc>
          <w:tcPr>
            <w:tcW w:type="dxa" w:w="1800"/>
            <w:shd w:fill="FFFFFF" w:val="clear"/>
            <w:tcMar>
              <w:top w:type="dxa" w:w="80"/>
              <w:left w:type="dxa" w:w="100"/>
              <w:bottom w:type="dxa" w:w="80"/>
              <w:right w:type="dxa" w:w="100"/>
            </w:tcMar>
          </w:tcPr>
          <w:p>
            <w:pPr>
              <w:jc w:val="left"/>
            </w:pPr>
            <w:r>
              <w:rPr>
                <w:color w:val="000000"/>
                <w:sz w:val="19"/>
                <w:szCs w:val="19"/>
              </w:rPr>
              <w:t xml:space="preserve">Informed</w:t>
            </w:r>
          </w:p>
        </w:tc>
        <w:tc>
          <w:tcPr>
            <w:tcW w:type="dxa" w:w="3000"/>
            <w:shd w:fill="FFFFFF" w:val="clear"/>
            <w:tcMar>
              <w:top w:type="dxa" w:w="80"/>
              <w:left w:type="dxa" w:w="100"/>
              <w:bottom w:type="dxa" w:w="80"/>
              <w:right w:type="dxa" w:w="100"/>
            </w:tcMar>
          </w:tcPr>
          <w:p>
            <w:pPr>
              <w:jc w:val="left"/>
            </w:pPr>
            <w:r>
              <w:rPr>
                <w:color w:val="000000"/>
                <w:sz w:val="19"/>
                <w:szCs w:val="19"/>
              </w:rPr>
              <w:t xml:space="preserve">Responsible / Accountable</w:t>
            </w:r>
          </w:p>
        </w:tc>
      </w:tr>
      <w:tr>
        <w:tc>
          <w:tcPr>
            <w:tcW w:type="dxa" w:w="3600"/>
            <w:shd w:fill="F2F2F2" w:val="clear"/>
            <w:tcMar>
              <w:top w:type="dxa" w:w="80"/>
              <w:left w:type="dxa" w:w="100"/>
              <w:bottom w:type="dxa" w:w="80"/>
              <w:right w:type="dxa" w:w="100"/>
            </w:tcMar>
          </w:tcPr>
          <w:p>
            <w:pPr>
              <w:jc w:val="left"/>
            </w:pPr>
            <w:r>
              <w:rPr>
                <w:color w:val="000000"/>
                <w:sz w:val="19"/>
                <w:szCs w:val="19"/>
              </w:rPr>
              <w:t xml:space="preserve">Post-offboarding dormant grant sweep</w:t>
            </w:r>
          </w:p>
        </w:tc>
        <w:tc>
          <w:tcPr>
            <w:tcW w:type="dxa" w:w="1800"/>
            <w:shd w:fill="F2F2F2" w:val="clear"/>
            <w:tcMar>
              <w:top w:type="dxa" w:w="80"/>
              <w:left w:type="dxa" w:w="100"/>
              <w:bottom w:type="dxa" w:w="80"/>
              <w:right w:type="dxa" w:w="100"/>
            </w:tcMar>
          </w:tcPr>
          <w:p>
            <w:pPr>
              <w:jc w:val="left"/>
            </w:pPr>
            <w:r>
              <w:rPr>
                <w:color w:val="000000"/>
                <w:sz w:val="19"/>
                <w:szCs w:val="19"/>
              </w:rPr>
              <w:t xml:space="preserve">—</w:t>
            </w:r>
          </w:p>
        </w:tc>
        <w:tc>
          <w:tcPr>
            <w:tcW w:type="dxa" w:w="1800"/>
            <w:shd w:fill="F2F2F2" w:val="clear"/>
            <w:tcMar>
              <w:top w:type="dxa" w:w="80"/>
              <w:left w:type="dxa" w:w="100"/>
              <w:bottom w:type="dxa" w:w="80"/>
              <w:right w:type="dxa" w:w="100"/>
            </w:tcMar>
          </w:tcPr>
          <w:p>
            <w:pPr>
              <w:jc w:val="left"/>
            </w:pPr>
            <w:r>
              <w:rPr>
                <w:color w:val="000000"/>
                <w:sz w:val="19"/>
                <w:szCs w:val="19"/>
              </w:rPr>
              <w:t xml:space="preserve">Informed</w:t>
            </w:r>
          </w:p>
        </w:tc>
        <w:tc>
          <w:tcPr>
            <w:tcW w:type="dxa" w:w="3000"/>
            <w:shd w:fill="F2F2F2" w:val="clear"/>
            <w:tcMar>
              <w:top w:type="dxa" w:w="80"/>
              <w:left w:type="dxa" w:w="100"/>
              <w:bottom w:type="dxa" w:w="80"/>
              <w:right w:type="dxa" w:w="100"/>
            </w:tcMar>
          </w:tcPr>
          <w:p>
            <w:pPr>
              <w:jc w:val="left"/>
            </w:pPr>
            <w:r>
              <w:rPr>
                <w:color w:val="000000"/>
                <w:sz w:val="19"/>
                <w:szCs w:val="19"/>
              </w:rPr>
              <w:t xml:space="preserve">Responsible / Accountable</w:t>
            </w:r>
          </w:p>
        </w:tc>
      </w:tr>
    </w:tbl>
    <w:p>
      <w:pPr>
        <w:spacing w:after="140" w:line="276"/>
      </w:pPr>
      <w:r>
        <w:rPr>
          <w:sz w:val="21"/>
          <w:szCs w:val="21"/>
        </w:rPr>
        <w:t xml:space="preserve">Note the pattern: the guest is never the accountable party for anything that outlives their engagement. That accountability sits with the Sponsor for delivery quality and with the Platform Lead for everything access- and risk-related. This is deliberate — it is the only structure where the platform's sanity does not depend on a guest's memory or goodwill after they've moved on to their next engagement.</w:t>
      </w:r>
    </w:p>
    <w:p>
      <w:pPr>
        <w:pStyle w:val="Heading1"/>
        <w:pBdr>
          <w:bottom w:val="single" w:color="2E5395" w:sz="6" w:space="4"/>
        </w:pBdr>
        <w:spacing w:after="200" w:before="400"/>
      </w:pPr>
      <w:r>
        <w:rPr>
          <w:b/>
          <w:bCs/>
          <w:color w:val="1F3864"/>
          <w:sz w:val="28"/>
          <w:szCs w:val="28"/>
        </w:rPr>
        <w:t xml:space="preserve">10. Exceptions</w:t>
      </w:r>
    </w:p>
    <w:p>
      <w:pPr>
        <w:spacing w:after="140" w:line="276"/>
      </w:pPr>
      <w:r>
        <w:rPr>
          <w:sz w:val="21"/>
          <w:szCs w:val="21"/>
        </w:rPr>
        <w:t xml:space="preserve">Any deviation from this standard — an extended PAT, a UAT exception past 5 days, a persona operating outside its access ceiling — requires a written exception request, a named approver (Platform Lead, or their manager for anything touching Prod-adjacent scope), and an explicit expiry date. Undocumented exceptions are, by definition, policy violations, not judgment calls made in the moment.</w:t>
      </w:r>
    </w:p>
    <w:p>
      <w:pPr>
        <w:spacing w:after="140" w:line="276"/>
      </w:pPr>
      <w:r>
        <w:rPr>
          <w:i/>
          <w:iCs/>
          <w:color w:val="595959"/>
          <w:sz w:val="21"/>
          <w:szCs w:val="21"/>
        </w:rPr>
        <w:t xml:space="preserve">This document is reviewed and re-issued each time a materially new guest engagement pattern emerges (e.g. hackathon-style rapid builds, multi-vendor concurrent engagements) rather than on a fixed calendar cycle, since the failure modes this standard exists to prevent tend to show up in new forms before they show up on a schedule.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Page </w:t>
    </w:r>
    <w:r>
      <w:rPr>
        <w:color w:val="595959"/>
        <w:sz w:val="16"/>
        <w:szCs w:val="16"/>
      </w:rPr>
      <w:fldChar w:fldCharType="begin"/>
      <w:instrText xml:space="preserve">PAGE</w:instrText>
      <w:fldChar w:fldCharType="separate"/>
      <w:fldChar w:fldCharType="end"/>
    </w:r>
    <w:r>
      <w:rPr>
        <w:color w:val="595959"/>
        <w:sz w:val="16"/>
        <w:szCs w:val="16"/>
      </w:rPr>
      <w:t xml:space="preserve"> of </w:t>
    </w:r>
    <w:r>
      <w:rPr>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jc w:val="right"/>
    </w:pPr>
    <w:r>
      <w:rPr>
        <w:i/>
        <w:iCs/>
        <w:color w:val="595959"/>
        <w:sz w:val="16"/>
        <w:szCs w:val="16"/>
      </w:rPr>
      <w:t xml:space="preserve">Guest Developer Governance Standard — NextGenBI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2026-07-02T14:44:10.748Z</dcterms:created>
  <dcterms:modified xsi:type="dcterms:W3CDTF">2026-07-02T14:44:10.749Z</dcterms:modified>
</cp:coreProperties>
</file>

<file path=docProps/custom.xml><?xml version="1.0" encoding="utf-8"?>
<Properties xmlns="http://schemas.openxmlformats.org/officeDocument/2006/custom-properties" xmlns:vt="http://schemas.openxmlformats.org/officeDocument/2006/docPropsVTypes"/>
</file>