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NEXTGENBI PLATFORM</w:t>
      </w:r>
    </w:p>
    <w:p>
      <w:pPr>
        <w:spacing w:after="100"/>
      </w:pPr>
      <w:r>
        <w:rPr>
          <w:b/>
          <w:bCs/>
          <w:color w:val="1F3864"/>
          <w:sz w:val="36"/>
          <w:szCs w:val="36"/>
        </w:rPr>
        <w:t xml:space="preserve">Guest Onboarding Package Checklist</w:t>
      </w:r>
    </w:p>
    <w:p>
      <w:pPr>
        <w:spacing w:after="140" w:line="276"/>
      </w:pPr>
      <w:r>
        <w:rPr>
          <w:i/>
          <w:iCs/>
          <w:color w:val="595959"/>
          <w:sz w:val="19"/>
          <w:szCs w:val="19"/>
        </w:rPr>
        <w:t xml:space="preserve">A working checklist for assembling and tracking the onboarding package handed to every guest developer. Companion to the Guest Developer Governance Standard — fill in the Document/Link and Owner columns as each item is finalized, and use Status to track what's actually been delivered to the guest, not just drafted.</w:t>
      </w:r>
    </w:p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1. Architecture &amp; Platform Orientation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200"/>
        <w:gridCol w:w="1400"/>
        <w:gridCol w:w="1500"/>
      </w:tblGrid>
      <w:tr>
        <w:trPr>
          <w:tblHeader/>
        </w:trPr>
        <w:tc>
          <w:tcPr>
            <w:tcW w:type="dxa" w:w="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/ Link</w:t>
            </w:r>
          </w:p>
        </w:tc>
        <w:tc>
          <w:tcPr>
            <w:tcW w:type="dxa" w:w="1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Guest Developer Governance Standard — full document, shared at kickoff before any access is provisioned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NextGenBI architecture diagram (end-to-end platform overview)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Medallion architecture explainer — Bronze / Silver / Gold, how NextGenBI implements each layer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Environment map — Dev / Dev-Shared / UAT / Prod workspaces, what each is for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Where the guest's specific project fits into the broader platform (1-pager, scoped to their engagement)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Sponsor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 Access &amp; Identity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200"/>
        <w:gridCol w:w="1400"/>
        <w:gridCol w:w="1500"/>
      </w:tblGrid>
      <w:tr>
        <w:trPr>
          <w:tblHeader/>
        </w:trPr>
        <w:tc>
          <w:tcPr>
            <w:tcW w:type="dxa" w:w="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/ Link</w:t>
            </w:r>
          </w:p>
        </w:tc>
        <w:tc>
          <w:tcPr>
            <w:tcW w:type="dxa" w:w="1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to request Azure Databricks access (Dev/UAT/Prod) — process, approver, turnaround time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AAD guest persona group assignment — which group, what it grants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Enterprise org access — SSO authorization steps for Digital-Technology-Services org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Tushar / Platform Lead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Databricks CLI / local dev setup guide — auth method, workspace URLs per environment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Access expiry date confirmation — guest should know their own end date up front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Sponsor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3. Infrastructure Requests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200"/>
        <w:gridCol w:w="1400"/>
        <w:gridCol w:w="1500"/>
      </w:tblGrid>
      <w:tr>
        <w:trPr>
          <w:tblHeader/>
        </w:trPr>
        <w:tc>
          <w:tcPr>
            <w:tcW w:type="dxa" w:w="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/ Link</w:t>
            </w:r>
          </w:p>
        </w:tc>
        <w:tc>
          <w:tcPr>
            <w:tcW w:type="dxa" w:w="1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to raise a request for Azure Storage (containers, mount points, scope)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secret scopes are generated — owned and executed by NextGen/Databricks Admin team, guest submits request only, never self-service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Databricks Admin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Compute policy / cluster access — which cluster policies a guest persona can attach to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4. Platform Conventions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200"/>
        <w:gridCol w:w="1400"/>
        <w:gridCol w:w="1500"/>
      </w:tblGrid>
      <w:tr>
        <w:trPr>
          <w:tblHeader/>
        </w:trPr>
        <w:tc>
          <w:tcPr>
            <w:tcW w:type="dxa" w:w="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/ Link</w:t>
            </w:r>
          </w:p>
        </w:tc>
        <w:tc>
          <w:tcPr>
            <w:tcW w:type="dxa" w:w="1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Unity Catalog naming conventions — sandbox catalog/schema naming standard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 branching &amp; DABs promotion flow (develop → release → main) — what a guest can and can't touch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 review process — reviewer assignment, PR template if one exists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Sponsor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Notebook/job header convention (guest name, sponsor, engagement ref, date) — see Governance Standard §4.1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5. Data Boundaries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200"/>
        <w:gridCol w:w="1400"/>
        <w:gridCol w:w="1500"/>
      </w:tblGrid>
      <w:tr>
        <w:trPr>
          <w:tblHeader/>
        </w:trPr>
        <w:tc>
          <w:tcPr>
            <w:tcW w:type="dxa" w:w="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/ Link</w:t>
            </w:r>
          </w:p>
        </w:tc>
        <w:tc>
          <w:tcPr>
            <w:tcW w:type="dxa" w:w="1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classification / sensitivity guide — what's accessible vs. off-limits regardless of persona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Dev-safe sample dataset, if Prod-sourced data isn't appropriate for the guest's sandbox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6. Support &amp; Communication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200"/>
        <w:gridCol w:w="1400"/>
        <w:gridCol w:w="1500"/>
      </w:tblGrid>
      <w:tr>
        <w:trPr>
          <w:tblHeader/>
        </w:trPr>
        <w:tc>
          <w:tcPr>
            <w:tcW w:type="dxa" w:w="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/ Link</w:t>
            </w:r>
          </w:p>
        </w:tc>
        <w:tc>
          <w:tcPr>
            <w:tcW w:type="dxa" w:w="1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point of contact for delivery/scope questions (Sponsor)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Sponsor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Primary point of contact for access/infra issues (Platform Admin) — explicitly distinguished from Sponsor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Escalation path for blocked or broken environments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Relevant Teams channel(s) for day-to-day questions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Sponsor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7. Offboarding Preview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200"/>
        <w:gridCol w:w="1400"/>
        <w:gridCol w:w="1500"/>
      </w:tblGrid>
      <w:tr>
        <w:trPr>
          <w:tblHeader/>
        </w:trPr>
        <w:tc>
          <w:tcPr>
            <w:tcW w:type="dxa" w:w="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/ Link</w:t>
            </w:r>
          </w:p>
        </w:tc>
        <w:tc>
          <w:tcPr>
            <w:tcW w:type="dxa" w:w="1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Summary of handoff package requirements, shared at onboarding (not a surprise at exit) — see Governance Standard §6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Handoff package template (architecture summary, README, runbook, object inventory) pre-shared so guest can build it incrementally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8. Glossary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200"/>
        <w:gridCol w:w="1400"/>
        <w:gridCol w:w="1500"/>
      </w:tblGrid>
      <w:tr>
        <w:trPr>
          <w:tblHeader/>
        </w:trPr>
        <w:tc>
          <w:tcPr>
            <w:tcW w:type="dxa" w:w="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3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/ Link</w:t>
            </w:r>
          </w:p>
        </w:tc>
        <w:tc>
          <w:tcPr>
            <w:tcW w:type="dxa" w:w="1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Platform-specific acronyms and terms — CMDB, DABs, UC, Medallion layers, relevant ServiceNow modules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</w:tbl>
    <w:p>
      <w:pPr>
        <w:pBdr>
          <w:top w:val="single" w:color="BFBFBF" w:sz="4" w:space="8"/>
        </w:pBdr>
        <w:spacing w:before="300"/>
      </w:pPr>
      <w:r>
        <w:rPr>
          <w:i/>
          <w:iCs/>
          <w:color w:val="595959"/>
          <w:sz w:val="19"/>
          <w:szCs w:val="19"/>
        </w:rPr>
        <w:t xml:space="preserve">Package is considered complete only when every row above is Delivered — not just drafted or linked internally.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Guest Onboarding Package Checklist — NextGenBI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2026-07-02T17:34:23.200Z</dcterms:created>
  <dcterms:modified xsi:type="dcterms:W3CDTF">2026-07-02T17:34:23.214Z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