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Arial" w:hAnsi="Arial"/>
          <w:b/>
          <w:color w:val="2C3E50"/>
          <w:sz w:val="40"/>
        </w:rPr>
        <w:t>Software Tool Approval Certificate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Safety Declaration of Conformity (CENELEC EN 50128 Class T2)</w:t>
      </w:r>
    </w:p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1. Tool Identification &amp;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Metadata Field</w:t>
            </w:r>
          </w:p>
        </w:tc>
        <w:tc>
          <w:tcPr>
            <w:tcW w:type="dxa" w:w="468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**Tool Name**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MLK-II ALVT Logic to CAD Converter</w:t>
            </w:r>
          </w:p>
        </w:tc>
      </w:tr>
      <w:tr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**Tool Version**</w:t>
            </w:r>
          </w:p>
        </w:tc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16.1.35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**Tool Class**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Class T2 (CENELEC EN 50128:2011)</w:t>
            </w:r>
          </w:p>
        </w:tc>
      </w:tr>
      <w:tr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**Executable Name**</w:t>
            </w:r>
          </w:p>
        </w:tc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`MLK-II_ALVT_Setup.exe`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**Approved Use Cases**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Standard Logic-to-CAD translation (B&amp;W schematics)</w:t>
              <w:br/>
              <w:t>Logic Difference CAD rendering (Red/Green highlighting)</w:t>
            </w:r>
          </w:p>
        </w:tc>
      </w:tr>
    </w:tbl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2. Reference Documentation</w:t>
      </w:r>
    </w:p>
    <w:p>
      <w:pPr>
        <w:spacing w:before="60" w:after="120"/>
      </w:pPr>
      <w:r>
        <w:t>This approval is granted based on the successful validation and review of the following qualification records: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Document Reference</w:t>
            </w:r>
          </w:p>
        </w:tc>
        <w:tc>
          <w:tcPr>
            <w:tcW w:type="dxa" w:w="234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34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4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**ALVT-TCR-01**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Tool Classification Report (TCR)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2026-06-24</w:t>
            </w:r>
          </w:p>
        </w:tc>
      </w:tr>
      <w:tr>
        <w:tc>
          <w:tcPr>
            <w:tcW w:type="dxa" w:w="234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**ALVT-TVR-01**</w:t>
            </w:r>
          </w:p>
        </w:tc>
        <w:tc>
          <w:tcPr>
            <w:tcW w:type="dxa" w:w="234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Tool Validation Plan &amp; Report (TVP/TVR)</w:t>
            </w:r>
          </w:p>
        </w:tc>
        <w:tc>
          <w:tcPr>
            <w:tcW w:type="dxa" w:w="234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1.0</w:t>
            </w:r>
          </w:p>
        </w:tc>
        <w:tc>
          <w:tcPr>
            <w:tcW w:type="dxa" w:w="234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2026-06-24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**ALVT-TUM-01**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Tool User Manual &amp; Safety Rules (TUM)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8"/>
              </w:rPr>
              <w:t>2026-06-24</w:t>
            </w:r>
          </w:p>
        </w:tc>
      </w:tr>
    </w:tbl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3. Conformity Declarations</w:t>
      </w:r>
    </w:p>
    <w:p>
      <w:pPr>
        <w:spacing w:before="60" w:after="120"/>
      </w:pPr>
      <w:r>
        <w:t>We, the undersigned, hereby declare and certify that:</w:t>
      </w:r>
    </w:p>
    <w:p>
      <w:pPr>
        <w:spacing w:before="60" w:after="120"/>
      </w:pPr>
      <w:r>
        <w:t xml:space="preserve">1.  The MLK-II ALVT Logic to CAD Converter has been formally evaluated and classified as a </w:t>
      </w:r>
      <w:r>
        <w:rPr>
          <w:b/>
        </w:rPr>
        <w:t>Class T2 Tool</w:t>
      </w:r>
      <w:r>
        <w:t xml:space="preserve"> in accordance with </w:t>
      </w:r>
      <w:r>
        <w:rPr>
          <w:b/>
        </w:rPr>
        <w:t>CENELEC EN 50128:2011 (Section 6.7)</w:t>
      </w:r>
      <w:r>
        <w:t>.</w:t>
      </w:r>
    </w:p>
    <w:p>
      <w:pPr>
        <w:spacing w:before="60" w:after="120"/>
      </w:pPr>
      <w:r>
        <w:t xml:space="preserve">2.  The software tool has been subjected to the validation cases defined in </w:t>
      </w:r>
      <w:r>
        <w:rPr>
          <w:b/>
        </w:rPr>
        <w:t>ALVT-TVR-01</w:t>
      </w:r>
      <w:r>
        <w:t xml:space="preserve">, and all validation, regression, and functional test runs have successfully </w:t>
      </w:r>
      <w:r>
        <w:rPr>
          <w:b/>
        </w:rPr>
        <w:t>PASSED</w:t>
      </w:r>
      <w:r>
        <w:t>.</w:t>
      </w:r>
    </w:p>
    <w:p>
      <w:pPr>
        <w:spacing w:before="60" w:after="120"/>
      </w:pPr>
      <w:r>
        <w:t xml:space="preserve">3.  The tool is </w:t>
      </w:r>
      <w:r>
        <w:rPr>
          <w:b/>
        </w:rPr>
        <w:t>APPROVED</w:t>
      </w:r>
      <w:r>
        <w:t xml:space="preserve"> for use in railway signaling interlocking logic translation and visual differential verification projects.</w:t>
      </w:r>
    </w:p>
    <w:p>
      <w:pPr>
        <w:spacing w:before="60" w:after="120"/>
      </w:pPr>
      <w:r>
        <w:t xml:space="preserve">4.  All operational uses of this tool must conform strictly to the </w:t>
      </w:r>
      <w:r>
        <w:rPr>
          <w:b/>
        </w:rPr>
        <w:t>Tool Safety Rules</w:t>
      </w:r>
      <w:r>
        <w:t xml:space="preserve"> defined in the User Manual (</w:t>
      </w:r>
      <w:r>
        <w:rPr>
          <w:b/>
        </w:rPr>
        <w:t>ALVT-TUM-01, Section 6</w:t>
      </w:r>
      <w:r>
        <w:t>).</w:t>
      </w:r>
    </w:p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4. Formal Approval &amp; Sign-Off</w:t>
      </w:r>
    </w:p>
    <w:p>
      <w:pPr>
        <w:spacing w:before="200" w:after="80"/>
      </w:pPr>
      <w:r>
        <w:rPr>
          <w:rFonts w:ascii="Arial" w:hAnsi="Arial"/>
          <w:b/>
          <w:color w:val="16A085"/>
          <w:sz w:val="23"/>
        </w:rPr>
        <w:t>Prepared By:</w:t>
      </w:r>
    </w:p>
    <w:p>
      <w:pPr>
        <w:pStyle w:val="ListBullet"/>
        <w:spacing w:before="40" w:after="40"/>
      </w:pPr>
      <w:r>
        <w:t>Software Developer / Lead Engineer*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  <w:t>**Ashish Dixit**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</w:tbl>
    <w:p>
      <w:pPr>
        <w:pStyle w:val="ListBullet"/>
        <w:spacing w:before="40" w:after="40"/>
      </w:pPr>
      <w:r>
        <w:t>--</w:t>
      </w:r>
    </w:p>
    <w:p>
      <w:pPr>
        <w:spacing w:before="200" w:after="80"/>
      </w:pPr>
      <w:r>
        <w:rPr>
          <w:rFonts w:ascii="Arial" w:hAnsi="Arial"/>
          <w:b/>
          <w:color w:val="16A085"/>
          <w:sz w:val="23"/>
        </w:rPr>
        <w:t>Reviewed &amp; Verified By:</w:t>
      </w:r>
    </w:p>
    <w:p>
      <w:pPr>
        <w:pStyle w:val="ListBullet"/>
        <w:spacing w:before="40" w:after="40"/>
      </w:pPr>
      <w:r>
        <w:t>Independent Verifier / Checker*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</w:tbl>
    <w:p>
      <w:pPr>
        <w:pStyle w:val="ListBullet"/>
        <w:spacing w:before="40" w:after="40"/>
      </w:pPr>
      <w:r>
        <w:t>--</w:t>
      </w:r>
    </w:p>
    <w:p>
      <w:pPr>
        <w:spacing w:before="200" w:after="80"/>
      </w:pPr>
      <w:r>
        <w:rPr>
          <w:rFonts w:ascii="Arial" w:hAnsi="Arial"/>
          <w:b/>
          <w:color w:val="16A085"/>
          <w:sz w:val="23"/>
        </w:rPr>
        <w:t>Approved By:</w:t>
      </w:r>
    </w:p>
    <w:p>
      <w:pPr>
        <w:pStyle w:val="ListBullet"/>
        <w:spacing w:before="40" w:after="40"/>
      </w:pPr>
      <w:r>
        <w:t>Project Safety Manager / Independent Safety Assessor (ISA)*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