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Arial" w:hAnsi="Arial"/>
          <w:b/>
          <w:color w:val="2C3E50"/>
          <w:sz w:val="40"/>
        </w:rPr>
        <w:t>Tool Classification Report (TCR)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MLK-II ALVT Logic to CAD Converter Tool</w:t>
      </w:r>
    </w:p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Metadata Field</w:t>
            </w:r>
          </w:p>
        </w:tc>
        <w:tc>
          <w:tcPr>
            <w:tcW w:type="dxa" w:w="468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**Document Reference**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ALVT-TCR-01</w:t>
            </w:r>
          </w:p>
        </w:tc>
      </w:tr>
      <w:tr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**Associated Software Version**</w:t>
            </w:r>
          </w:p>
        </w:tc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16.1.35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**Safety Integrity Classification**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Class T2 (CENELEC EN 50128)</w:t>
            </w:r>
          </w:p>
        </w:tc>
      </w:tr>
      <w:tr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**Author**</w:t>
            </w:r>
          </w:p>
        </w:tc>
        <w:tc>
          <w:tcPr>
            <w:tcW w:type="dxa" w:w="468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Ashish Dixit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**Release Date**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8"/>
              </w:rPr>
              <w:t>2026-06-24</w:t>
            </w:r>
          </w:p>
        </w:tc>
      </w:tr>
    </w:tbl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2. Executive Summary</w:t>
      </w:r>
    </w:p>
    <w:p>
      <w:pPr>
        <w:spacing w:before="60" w:after="120"/>
      </w:pPr>
      <w:r>
        <w:t xml:space="preserve">This Tool Classification Report (TCR) defines the safety-critical classification of the MLK-II ALVT Logic to CAD Converter Tool. In accordance with railway software safety standard </w:t>
      </w:r>
      <w:r>
        <w:rPr>
          <w:b/>
        </w:rPr>
        <w:t>CENELEC EN 50128:2011 (Section 6.7)</w:t>
      </w:r>
      <w:r>
        <w:t>, engineering design and verification support tools must be formally classified and qualified to ensure they do not introduce silent errors into signaling interlocking designs.</w:t>
      </w:r>
    </w:p>
    <w:p>
      <w:pPr>
        <w:spacing w:before="60" w:after="120"/>
      </w:pPr>
      <w:r>
        <w:t xml:space="preserve">This report evaluates the functional impact of the logic converter and justifies its classification as a </w:t>
      </w:r>
      <w:r>
        <w:rPr>
          <w:b/>
        </w:rPr>
        <w:t>Class T2 Tool</w:t>
      </w:r>
      <w:r>
        <w:t>.</w:t>
      </w:r>
    </w:p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3. Tool Description &amp; Scope</w:t>
      </w:r>
    </w:p>
    <w:p>
      <w:pPr>
        <w:spacing w:before="60" w:after="120"/>
      </w:pPr>
      <w:r>
        <w:t>The MLK-II ALVT Tool translates compiled Microlok logic source code into structured AutoCAD drawing files (`.dxf`) and consolidated PDF schematic sets.</w:t>
      </w:r>
    </w:p>
    <w:p>
      <w:pPr>
        <w:spacing w:before="60" w:after="120"/>
      </w:pPr>
      <w:r>
        <w:t>The scope of this safety classification is limited strictly to the drawing generation sub-systems:</w:t>
      </w:r>
    </w:p>
    <w:p>
      <w:pPr>
        <w:pStyle w:val="ListBullet"/>
        <w:spacing w:before="40" w:after="40"/>
      </w:pPr>
      <w:r/>
      <w:r>
        <w:rPr>
          <w:b/>
        </w:rPr>
        <w:t>Standard Logic to CAD (Black &amp; White layout rendering)</w:t>
      </w:r>
    </w:p>
    <w:p>
      <w:pPr>
        <w:pStyle w:val="ListBullet"/>
        <w:spacing w:before="40" w:after="40"/>
      </w:pPr>
      <w:r/>
      <w:r>
        <w:rPr>
          <w:b/>
        </w:rPr>
        <w:t>Logic Differential CAD (Red &amp; Green layout rendering)</w:t>
      </w:r>
    </w:p>
    <w:p>
      <w:pPr>
        <w:pStyle w:val="ListBullet"/>
        <w:spacing w:before="40" w:after="40"/>
      </w:pPr>
      <w:r>
        <w:t>All other utilities in the ALVT suite (such as diagnostic datalogger analysis or text editors) are excluded from the vital safety scope and operate under Class T1.*</w:t>
      </w:r>
    </w:p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4. Software Tool Classification Analysis</w:t>
      </w:r>
    </w:p>
    <w:p>
      <w:pPr>
        <w:spacing w:before="200" w:after="80"/>
      </w:pPr>
      <w:r>
        <w:rPr>
          <w:rFonts w:ascii="Arial" w:hAnsi="Arial"/>
          <w:b/>
          <w:color w:val="16A085"/>
          <w:sz w:val="23"/>
        </w:rPr>
        <w:t>4.1 Safety Tool Classes defined in EN 50128</w:t>
      </w:r>
    </w:p>
    <w:p>
      <w:pPr>
        <w:spacing w:before="60" w:after="120"/>
      </w:pPr>
      <w:r>
        <w:t>CENELEC EN 50128 defines three tool classes based on their potential to introduce or fail to detect errors:</w:t>
      </w:r>
    </w:p>
    <w:p>
      <w:pPr>
        <w:pStyle w:val="ListBullet"/>
        <w:spacing w:before="40" w:after="40"/>
      </w:pPr>
      <w:r/>
      <w:r>
        <w:rPr>
          <w:b/>
        </w:rPr>
        <w:t>Class T1</w:t>
      </w:r>
      <w:r>
        <w:t>: Generates no outputs which can directly or indirectly influence the safety-critical design (e.g. code formatting checkers, text editors).</w:t>
      </w:r>
    </w:p>
    <w:p>
      <w:pPr>
        <w:pStyle w:val="ListBullet"/>
        <w:spacing w:before="40" w:after="40"/>
      </w:pPr>
      <w:r/>
      <w:r>
        <w:rPr>
          <w:b/>
        </w:rPr>
        <w:t>Class T2</w:t>
      </w:r>
      <w:r>
        <w:t xml:space="preserve">: Supports the design, test, or verification of the system where errors in the tool's output could fail to detect a fault, but </w:t>
      </w:r>
      <w:r>
        <w:rPr>
          <w:b/>
        </w:rPr>
        <w:t>cannot directly introduce safety faults</w:t>
      </w:r>
      <w:r>
        <w:t xml:space="preserve"> because the output is subject to subsequent manual review/verification.</w:t>
      </w:r>
    </w:p>
    <w:p>
      <w:pPr>
        <w:pStyle w:val="ListBullet"/>
        <w:spacing w:before="40" w:after="40"/>
      </w:pPr>
      <w:r/>
      <w:r>
        <w:rPr>
          <w:b/>
        </w:rPr>
        <w:t>Class T3</w:t>
      </w:r>
      <w:r>
        <w:t>: Generates output that directly becomes part of the safety-critical system without manual verification (e.g. safety code compilers, code generators).</w:t>
      </w:r>
    </w:p>
    <w:p>
      <w:pPr>
        <w:pStyle w:val="ListBullet"/>
        <w:spacing w:before="40" w:after="40"/>
      </w:pPr>
      <w:r>
        <w:t>--</w:t>
      </w:r>
    </w:p>
    <w:p>
      <w:pPr>
        <w:spacing w:before="200" w:after="80"/>
      </w:pPr>
      <w:r>
        <w:rPr>
          <w:rFonts w:ascii="Arial" w:hAnsi="Arial"/>
          <w:b/>
          <w:color w:val="16A085"/>
          <w:sz w:val="23"/>
        </w:rPr>
        <w:t>4.2 Hazard &amp; Impact Analysis</w:t>
      </w:r>
    </w:p>
    <w:p>
      <w:pPr>
        <w:spacing w:before="60" w:after="120"/>
      </w:pPr>
      <w:r>
        <w:t>The following table evaluates potential tool malfunctions and their safety impacts: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Potential Tool Malfunction</w:t>
            </w:r>
          </w:p>
        </w:tc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Consequence</w:t>
            </w:r>
          </w:p>
        </w:tc>
        <w:tc>
          <w:tcPr>
            <w:tcW w:type="dxa" w:w="3120"/>
            <w:shd w:fill="2C3E50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Mitigation Mechanism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**Omission of a Contact**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A contact in a logic rung is missing from the schematic drawing, misrepresenting the code.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**Manual Verification**: The checker cross-references the drawing contacts with the text equations in the source `.txt` file.</w:t>
            </w:r>
          </w:p>
        </w:tc>
      </w:tr>
      <w:tr>
        <w:tc>
          <w:tcPr>
            <w:tcW w:type="dxa" w:w="312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**Incorrect Logic Operator (Series vs Parallel)**</w:t>
            </w:r>
          </w:p>
        </w:tc>
        <w:tc>
          <w:tcPr>
            <w:tcW w:type="dxa" w:w="312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Rungs are drawn in parallel instead of series, showing a logical bypass.</w:t>
            </w:r>
          </w:p>
        </w:tc>
        <w:tc>
          <w:tcPr>
            <w:tcW w:type="dxa" w:w="312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**Signaling Test Check**: The testing team performs functional checks on the physical interlocking using the drawings.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**Incorrect Diff Highlighting (Red/Green)**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An added or deleted contact is highlighted as unchanged (false negative).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8"/>
              </w:rPr>
              <w:t>**Text-based Reconciliation**: The checker reconciles all drawing highlights with the generated text diff report (`*_diff_report.txt`).</w:t>
            </w:r>
          </w:p>
        </w:tc>
      </w:tr>
      <w:tr>
        <w:tc>
          <w:tcPr>
            <w:tcW w:type="dxa" w:w="312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**Stale Sheet Insertion**</w:t>
            </w:r>
          </w:p>
        </w:tc>
        <w:tc>
          <w:tcPr>
            <w:tcW w:type="dxa" w:w="312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An old sheet from a previous compilation run is inserted into the final PDF bundle.</w:t>
            </w:r>
          </w:p>
        </w:tc>
        <w:tc>
          <w:tcPr>
            <w:tcW w:type="dxa" w:w="3120"/>
            <w:shd w:fill="F5F7F8" w:val="clear" w:color="auto"/>
          </w:tcPr>
          <w:p>
            <w:pPr>
              <w:spacing w:before="60" w:after="60"/>
            </w:pPr>
            <w:r>
              <w:rPr>
                <w:sz w:val="18"/>
              </w:rPr>
              <w:t>**Page Validation**: Checkers inspect page numbers against the Drawing Index sheet page counts.</w:t>
            </w:r>
          </w:p>
        </w:tc>
      </w:tr>
    </w:tbl>
    <w:p>
      <w:pPr>
        <w:pStyle w:val="ListBullet"/>
        <w:spacing w:before="40" w:after="40"/>
      </w:pPr>
      <w:r>
        <w:t>--</w:t>
      </w:r>
    </w:p>
    <w:p>
      <w:pPr>
        <w:spacing w:before="200" w:after="80"/>
      </w:pPr>
      <w:r>
        <w:rPr>
          <w:rFonts w:ascii="Arial" w:hAnsi="Arial"/>
          <w:b/>
          <w:color w:val="16A085"/>
          <w:sz w:val="23"/>
        </w:rPr>
        <w:t>4.3 Classification Justification</w:t>
      </w:r>
    </w:p>
    <w:p>
      <w:pPr>
        <w:spacing w:before="60" w:after="120"/>
      </w:pPr>
      <w:r>
        <w:t xml:space="preserve">The MLK-II ALVT Converter is formally classified as a </w:t>
      </w:r>
      <w:r>
        <w:rPr>
          <w:b/>
        </w:rPr>
        <w:t>Class T2 Tool</w:t>
      </w:r>
      <w:r>
        <w:t xml:space="preserve"> because:</w:t>
      </w:r>
    </w:p>
    <w:p>
      <w:pPr>
        <w:spacing w:before="60" w:after="120"/>
      </w:pPr>
      <w:r>
        <w:t xml:space="preserve">1.  </w:t>
      </w:r>
      <w:r>
        <w:rPr>
          <w:b/>
        </w:rPr>
        <w:t>Independent Review</w:t>
      </w:r>
      <w:r>
        <w:t xml:space="preserve">: The CAD drawings and diff reports generated by the tool are used as verification and audit drawings. They are subject to a </w:t>
      </w:r>
      <w:r>
        <w:rPr>
          <w:b/>
        </w:rPr>
        <w:t>complete manual review</w:t>
      </w:r>
      <w:r>
        <w:t xml:space="preserve"> by a design verifier and independent checker.</w:t>
      </w:r>
    </w:p>
    <w:p>
      <w:pPr>
        <w:spacing w:before="60" w:after="120"/>
      </w:pPr>
      <w:r>
        <w:t xml:space="preserve">2.  </w:t>
      </w:r>
      <w:r>
        <w:rPr>
          <w:b/>
        </w:rPr>
        <w:t>No Code Injection</w:t>
      </w:r>
      <w:r>
        <w:t>: The tool does not write, compile, or inject executable code into the vital interlocking CPU. The vital software execution is governed entirely by the Microlok compiler.</w:t>
      </w:r>
    </w:p>
    <w:p>
      <w:pPr>
        <w:spacing w:before="60" w:after="120"/>
      </w:pPr>
      <w:r>
        <w:t xml:space="preserve">3.  </w:t>
      </w:r>
      <w:r>
        <w:rPr>
          <w:b/>
        </w:rPr>
        <w:t>No Direct Vital Impact</w:t>
      </w:r>
      <w:r>
        <w:t>: A failure in the tool’s layout engine may cause a drawing representation error but cannot directly cause an unsafe interlocking state on the railway line, as the vital interlocking execution remains unchanged.</w:t>
      </w:r>
    </w:p>
    <w:p>
      <w:pPr>
        <w:pStyle w:val="ListBullet"/>
        <w:spacing w:before="40" w:after="40"/>
      </w:pPr>
      <w:r>
        <w:t>--</w:t>
      </w:r>
    </w:p>
    <w:p>
      <w:pPr>
        <w:spacing w:before="320" w:after="120"/>
      </w:pPr>
      <w:r>
        <w:rPr>
          <w:rFonts w:ascii="Arial" w:hAnsi="Arial"/>
          <w:b/>
          <w:color w:val="2C3E50"/>
          <w:sz w:val="28"/>
        </w:rPr>
        <w:t>5. Conclusion &amp; Qualification Requirement</w:t>
      </w:r>
    </w:p>
    <w:p>
      <w:pPr>
        <w:spacing w:before="60" w:after="120"/>
      </w:pPr>
      <w:r>
        <w:t xml:space="preserve">Based on the safety analysis, the MLK-II ALVT Logic to CAD Converter is qualified as a </w:t>
      </w:r>
      <w:r>
        <w:rPr>
          <w:b/>
        </w:rPr>
        <w:t>Class T2 Tool</w:t>
      </w:r>
      <w:r>
        <w:t>.</w:t>
      </w:r>
    </w:p>
    <w:p>
      <w:pPr>
        <w:spacing w:before="60" w:after="120"/>
      </w:pPr>
      <w:r>
        <w:t>To satisfy the safety audit requirements of the Independent Safety Assessor (ISA), the following verification tasks must be completed:</w:t>
      </w:r>
    </w:p>
    <w:p>
      <w:pPr>
        <w:pStyle w:val="ListBullet"/>
        <w:spacing w:before="40" w:after="40"/>
      </w:pPr>
      <w:r/>
      <w:r>
        <w:rPr>
          <w:b/>
        </w:rPr>
        <w:t>Tool Validation Plan &amp; Report (TVP/TVR)</w:t>
      </w:r>
      <w:r>
        <w:t xml:space="preserve"> containing structured test cases and regression execution results.</w:t>
      </w:r>
    </w:p>
    <w:p>
      <w:pPr>
        <w:pStyle w:val="ListBullet"/>
        <w:spacing w:before="40" w:after="40"/>
      </w:pPr>
      <w:r/>
      <w:r>
        <w:rPr>
          <w:b/>
        </w:rPr>
        <w:t>Safety Audit Rules</w:t>
      </w:r>
      <w:r>
        <w:t xml:space="preserve"> embedded in the User Manual to govern the checker's verification steps.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