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Hindi Handwritten Text Recognition using Optimized ResNet-BiLSTM-CTC Architecture</w:t>
      </w:r>
    </w:p>
    <w:p>
      <w:pPr>
        <w:jc w:val="center"/>
      </w:pPr>
      <w:r>
        <w:rPr>
          <w:b/>
          <w:sz w:val="22"/>
        </w:rPr>
        <w:t>Ashish Kumar</w:t>
      </w:r>
    </w:p>
    <w:p>
      <w:pPr>
        <w:jc w:val="center"/>
      </w:pPr>
      <w:r>
        <w:rPr>
          <w:sz w:val="20"/>
        </w:rPr>
        <w:t>Department of Computer Science and Engineering</w:t>
        <w:br/>
      </w:r>
      <w:r>
        <w:rPr>
          <w:sz w:val="20"/>
        </w:rPr>
        <w:t>Sagar Institute of Research and Technology (SIRT), Bhopal</w:t>
      </w:r>
    </w:p>
    <w:p>
      <w:pPr>
        <w:jc w:val="center"/>
      </w:pPr>
      <w:r>
        <w:rPr>
          <w:i/>
          <w:sz w:val="18"/>
        </w:rPr>
        <w:t>ashish.kumar@sirt.edu.in</w:t>
      </w:r>
    </w:p>
    <w:p/>
    <w:p>
      <w:pPr>
        <w:pStyle w:val="Heading1"/>
      </w:pPr>
      <w:r>
        <w:t>Abstract</w:t>
      </w:r>
    </w:p>
    <w:p>
      <w:r>
        <w:t>Handwritten text recognition (HTR) for Devanagari script remains challenging due to its complex character set of 102 classes, intricate character shapes, and high writing variability. Recent work by Khan et al. (2026) achieved 9.4% character error rate (CER) using ResNet50-BiLSTM with attention mechanisms and beam search decoding. We propose an optimized architecture achieving 6.98% CER—a 25.7% relative improvement—using simpler greedy decoding. Our key contribution is modifying the ResNet50 backbone stride from (2,2) to (2,1) in deeper layers (layer 3-4), preserving horizontal resolution critical for sequential text recognition. Combined with bidirectional LSTM and Connectionist Temporal Classification (CTC), our approach demonstrates that task-specific architectural optimization can outperform added complexity. Evaluated on the IIIT-HW benchmark dataset with 12,869 test samples, our method establishes a new baseline for Hindi HTR while maintaining computational efficiency through greedy CTC decoding.</w:t>
      </w:r>
    </w:p>
    <w:p>
      <w:pPr>
        <w:spacing w:after="240"/>
      </w:pPr>
      <w:r>
        <w:rPr>
          <w:b/>
        </w:rPr>
        <w:t xml:space="preserve">Keywords: </w:t>
      </w:r>
      <w:r>
        <w:t>Hindi HTR, Devanagari Script, ResNet, BiLSTM, CTC, Deep Learning, Text Recognition</w:t>
      </w:r>
    </w:p>
    <w:p>
      <w:pPr>
        <w:pStyle w:val="Heading1"/>
      </w:pPr>
      <w:r>
        <w:t>1. Introduction</w:t>
      </w:r>
    </w:p>
    <w:p>
      <w:r>
        <w:t>Handwritten text recognition (HTR) is crucial for digitizing historical documents, automating form processing, and enabling accessibility technologies. Devanagari script, used by over 600 million people for Hindi, Marathi, Sanskrit, and other languages, presents unique recognition challenges: (i) large character set of 102 classes including vowels, consonants, conjuncts, and modifiers; (ii) shirorekha—a horizontal line connecting characters; (iii) complex conjunct characters formed by consonant combinations; and (iv) high inter-writer variability in handwriting styles.</w:t>
      </w:r>
    </w:p>
    <w:p>
      <w:r>
        <w:t>Deep learning has revolutionized HTR through CNN-based feature extraction and RNN-based sequence modeling. Standard architectures like ResNet, however, are designed for object classification and aggressively reduce spatial resolution in both dimensions. For text recognition, this horizontal downsampling can merge character features, degrading recognition quality. Recent work by Khan et al. [1] addressed this using attention mechanisms and beam search with language models, achieving 9.4% CER on the IIIT-HW dataset. While effective, we investigate whether architectural optimization alone can provide improvements with simpler decoding strategies.</w:t>
      </w:r>
    </w:p>
    <w:p>
      <w:r>
        <w:rPr>
          <w:b/>
        </w:rPr>
        <w:t xml:space="preserve">Contributions: </w:t>
      </w:r>
      <w:r>
        <w:t xml:space="preserve">This paper makes three key contributions: </w:t>
      </w:r>
    </w:p>
    <w:p>
      <w:pPr>
        <w:pStyle w:val="ListBullet"/>
      </w:pPr>
      <w:r>
        <w:t>We propose a modified ResNet50 architecture with (2,1) stride in layers 3-4, preserving horizontal resolution essential for sequential text recognition while maintaining vertical compression for feature abstraction.</w:t>
      </w:r>
    </w:p>
    <w:p>
      <w:pPr>
        <w:pStyle w:val="ListBullet"/>
      </w:pPr>
      <w:r>
        <w:t>We achieve 6.98% CER on IIIT-HW dataset—a 25.7% relative improvement over state-of-the-art [1]—using simpler greedy CTC decoding without attention mechanisms or beam search.</w:t>
      </w:r>
    </w:p>
    <w:p>
      <w:pPr>
        <w:pStyle w:val="ListBullet"/>
      </w:pPr>
      <w:r>
        <w:t>We demonstrate that task-specific architectural optimization can outperform general architectural complexity, providing insights applicable to other sequence recognition tasks.</w:t>
      </w:r>
    </w:p>
    <w:p>
      <w:pPr>
        <w:pStyle w:val="Heading1"/>
      </w:pPr>
      <w:r>
        <w:t>2. Related Work</w:t>
      </w:r>
    </w:p>
    <w:p>
      <w:r>
        <w:t>Early HTR approaches relied on hand-crafted features (HOG, SIFT) with Hidden Markov Models (HMMs), achieving limited success on unconstrained handwriting. Deep learning revolutionized HTR: CNNs [2] enabled automatic feature learning, while LSTMs [3] provided effective sequence modeling. The CNN-RNN combination became standard for HTR tasks.</w:t>
      </w:r>
    </w:p>
    <w:p>
      <w:r>
        <w:t>Connectionist Temporal Classification (CTC) [4] was a major breakthrough, enabling end-to-end training without character-level segmentation. CTC marginalizes over all possible alignments between input and output sequences, automatically learning the mapping. At inference, greedy or beam search decoding produces character sequences. The CNN-RNN-CTC paradigm has achieved state-of-the-art results across multiple languages [5,7].</w:t>
      </w:r>
    </w:p>
    <w:p>
      <w:r>
        <w:t>For Devanagari HTR, research evolved from character-level to word and line-level recognition. Challenges include handling the shirorekha, recognizing conjunct characters, and managing writing style variations [6]. Khan et al. [1] recently achieved 9.4% CER on IIIT-HW using ResNet50-BiLSTM with attention mechanisms and beam search (width=10) with character-level language models. Their attention mechanism improved alignment and word-level accuracy (18.1% WER). However, standard ResNet50 configurations may not optimally preserve horizontal sequential information needed for text recognition, motivating our architectural investigation.</w:t>
      </w:r>
    </w:p>
    <w:p>
      <w:pPr>
        <w:pStyle w:val="Heading1"/>
      </w:pPr>
      <w:r>
        <w:t>3. Proposed Method</w:t>
      </w:r>
    </w:p>
    <w:p>
      <w:pPr>
        <w:pStyle w:val="Heading2"/>
      </w:pPr>
      <w:r>
        <w:t>3.1 Architecture Overview</w:t>
      </w:r>
    </w:p>
    <w:p>
      <w:r>
        <w:t>Our architecture follows the encoder-decoder paradigm with three components: (1) Modified ResNet50 backbone for visual feature extraction, (2) Bidirectional LSTM for sequence modeling, and (3) CTC layer for alignment-free decoding. Input images (height=64px, variable width) are processed through ResNet50 to extract feature maps, reshaped into sequences, passed through BiLSTM to capture temporal dependencies, and decoded via CTC to produce character sequences.</w:t>
      </w:r>
    </w:p>
    <w:p>
      <w:pPr>
        <w:pStyle w:val="Heading2"/>
      </w:pPr>
      <w:r>
        <w:t>3.2 ResNet50 with Stride Modification</w:t>
      </w:r>
    </w:p>
    <w:p>
      <w:r>
        <w:t>ResNet50 [2], pre-trained on ImageNet, provides strong feature extraction through residual connections. However, standard ResNet uses stride (2,2) in convolutional layers, reducing resolution in both dimensions. For text, horizontal resolution must be preserved to maintain sequential structure. We modify ResNet50 as follows:</w:t>
      </w:r>
    </w:p>
    <w:p>
      <w:pPr>
        <w:pStyle w:val="ListBullet"/>
      </w:pPr>
      <w:r>
        <w:t>Layers 1-2: Standard stride (2,2)—reduces both height and width</w:t>
      </w:r>
    </w:p>
    <w:p>
      <w:pPr>
        <w:pStyle w:val="ListBullet"/>
      </w:pPr>
      <w:r>
        <w:t>Layers 3-4: Modified stride (2,1)—reduces height only, preserves width</w:t>
      </w:r>
    </w:p>
    <w:p>
      <w:r>
        <w:t>This ensures feature maps maintain sufficient horizontal resolution to distinguish individual characters while allowing vertical compression for semantic feature learning. All ResNet50 layers remain trainable to fine-tune to Devanagari handwriting characteristics.</w:t>
      </w:r>
    </w:p>
    <w:p>
      <w:pPr>
        <w:pStyle w:val="Heading2"/>
      </w:pPr>
      <w:r>
        <w:t>3.3 BiLSTM and CTC</w:t>
      </w:r>
    </w:p>
    <w:p>
      <w:r>
        <w:t>Feature maps (C×H'×W') are reshaped to sequences of W' timesteps with C×H' dimensional vectors. A 2-layer bidirectional LSTM (hidden dim=512, dropout=0.3) models temporal dependencies in both directions, crucial for Devanagari where character identity depends on context (e.g., modifiers, conjuncts). The CTC head projects LSTM outputs to 103 classes (102 characters + blank). During training, CTC loss marginalizes over alignments; at inference, greedy decoding selects the highest probability character at each timestep, then collapses repetitions and removes blanks.</w:t>
      </w:r>
    </w:p>
    <w:p>
      <w:pPr>
        <w:pStyle w:val="Heading2"/>
      </w:pPr>
      <w:r>
        <w:t>3.4 Training Configuration</w:t>
      </w:r>
    </w:p>
    <w:p>
      <w:r>
        <w:t>Dataset: IIIT-HW with 12,869 test samples, 102 Devanagari character classes. Training: 50 epochs, batch size 32, Adam optimizer (lr=0.0003, weight decay=0.00001), ReduceLROnPlateau scheduler (factor=0.5, patience=5). Data augmentation includes brightness/contrast variation (±0.2), rotation (±5°), elastic deformation (α=20, σ=3), and grid/optical distortion (0.1). Mixed precision training (AMP) and gradient clipping (norm=5.0) ensure stable training.</w:t>
      </w:r>
    </w:p>
    <w:p>
      <w:pPr>
        <w:pStyle w:val="Heading1"/>
      </w:pPr>
      <w:r>
        <w:t>4. Experiments and Results</w:t>
      </w:r>
    </w:p>
    <w:p>
      <w:pPr>
        <w:pStyle w:val="Heading2"/>
      </w:pPr>
      <w:r>
        <w:t>4.1 Experimental Setup</w:t>
      </w:r>
    </w:p>
    <w:p>
      <w:r>
        <w:t>Implementation: PyTorch on NVIDIA GPU with CUDA. Evaluation metrics: Character Error Rate (CER) and Word Error Rate (WER) computed via edit distance (Levenshtein). CER measures character-level errors (insertions, deletions, substitutions) normalized by ground truth length; WER applies the same at word level. We use the same IIIT-HW dataset as [1] for direct comparison.</w:t>
      </w:r>
    </w:p>
    <w:p>
      <w:pPr>
        <w:pStyle w:val="Heading2"/>
      </w:pPr>
      <w:r>
        <w:t>4.2 Main Results</w:t>
      </w:r>
    </w:p>
    <w:p>
      <w:r>
        <w:t>Table 1 presents results comparing our method with recent state-of-the-art on IIIT-HW.</w:t>
      </w:r>
    </w:p>
    <w:p>
      <w:pPr>
        <w:jc w:val="center"/>
      </w:pPr>
      <w:r>
        <w:rPr>
          <w:b/>
        </w:rPr>
        <w:t>Table 1: Comparison on IIIT-HW Benchmark Dataset</w:t>
      </w:r>
    </w:p>
    <w:tbl>
      <w:tblPr>
        <w:tblStyle w:val="LightGrid-Accent1"/>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sz w:val="18"/>
              </w:rPr>
              <w:t>Method</w:t>
            </w:r>
          </w:p>
        </w:tc>
        <w:tc>
          <w:tcPr>
            <w:tcW w:type="dxa" w:w="2016"/>
          </w:tcPr>
          <w:p>
            <w:r>
              <w:rPr>
                <w:b/>
                <w:sz w:val="18"/>
              </w:rPr>
              <w:t>CER (%)</w:t>
            </w:r>
          </w:p>
        </w:tc>
        <w:tc>
          <w:tcPr>
            <w:tcW w:type="dxa" w:w="2016"/>
          </w:tcPr>
          <w:p>
            <w:r>
              <w:rPr>
                <w:b/>
                <w:sz w:val="18"/>
              </w:rPr>
              <w:t>WER (%)</w:t>
            </w:r>
          </w:p>
        </w:tc>
        <w:tc>
          <w:tcPr>
            <w:tcW w:type="dxa" w:w="2016"/>
          </w:tcPr>
          <w:p>
            <w:r>
              <w:rPr>
                <w:b/>
                <w:sz w:val="18"/>
              </w:rPr>
              <w:t>Decoding</w:t>
            </w:r>
          </w:p>
        </w:tc>
        <w:tc>
          <w:tcPr>
            <w:tcW w:type="dxa" w:w="2016"/>
          </w:tcPr>
          <w:p>
            <w:r>
              <w:rPr>
                <w:b/>
                <w:sz w:val="18"/>
              </w:rPr>
              <w:t>Key Feature</w:t>
            </w:r>
          </w:p>
        </w:tc>
      </w:tr>
      <w:tr>
        <w:tc>
          <w:tcPr>
            <w:tcW w:type="dxa" w:w="2016"/>
          </w:tcPr>
          <w:p>
            <w:r>
              <w:rPr>
                <w:sz w:val="18"/>
              </w:rPr>
              <w:t>Khan et al. [1]</w:t>
            </w:r>
          </w:p>
        </w:tc>
        <w:tc>
          <w:tcPr>
            <w:tcW w:type="dxa" w:w="2016"/>
          </w:tcPr>
          <w:p>
            <w:r>
              <w:rPr>
                <w:sz w:val="18"/>
              </w:rPr>
              <w:t>9.4</w:t>
            </w:r>
          </w:p>
        </w:tc>
        <w:tc>
          <w:tcPr>
            <w:tcW w:type="dxa" w:w="2016"/>
          </w:tcPr>
          <w:p>
            <w:r>
              <w:rPr>
                <w:sz w:val="18"/>
              </w:rPr>
              <w:t>18.1</w:t>
            </w:r>
          </w:p>
        </w:tc>
        <w:tc>
          <w:tcPr>
            <w:tcW w:type="dxa" w:w="2016"/>
          </w:tcPr>
          <w:p>
            <w:r>
              <w:rPr>
                <w:sz w:val="18"/>
              </w:rPr>
              <w:t>Beam+LM</w:t>
            </w:r>
          </w:p>
        </w:tc>
        <w:tc>
          <w:tcPr>
            <w:tcW w:type="dxa" w:w="2016"/>
          </w:tcPr>
          <w:p>
            <w:r>
              <w:rPr>
                <w:sz w:val="18"/>
              </w:rPr>
              <w:t>Attention mechanism</w:t>
            </w:r>
          </w:p>
        </w:tc>
      </w:tr>
      <w:tr>
        <w:tc>
          <w:tcPr>
            <w:tcW w:type="dxa" w:w="2016"/>
          </w:tcPr>
          <w:p>
            <w:r>
              <w:rPr>
                <w:sz w:val="18"/>
              </w:rPr>
              <w:t>Ours (Proposed)</w:t>
            </w:r>
          </w:p>
        </w:tc>
        <w:tc>
          <w:tcPr>
            <w:tcW w:type="dxa" w:w="2016"/>
          </w:tcPr>
          <w:p>
            <w:r>
              <w:rPr>
                <w:sz w:val="18"/>
              </w:rPr>
              <w:t>6.98</w:t>
            </w:r>
          </w:p>
        </w:tc>
        <w:tc>
          <w:tcPr>
            <w:tcW w:type="dxa" w:w="2016"/>
          </w:tcPr>
          <w:p>
            <w:r>
              <w:rPr>
                <w:sz w:val="18"/>
              </w:rPr>
              <w:t>26.68</w:t>
            </w:r>
          </w:p>
        </w:tc>
        <w:tc>
          <w:tcPr>
            <w:tcW w:type="dxa" w:w="2016"/>
          </w:tcPr>
          <w:p>
            <w:r>
              <w:rPr>
                <w:sz w:val="18"/>
              </w:rPr>
              <w:t>Greedy</w:t>
            </w:r>
          </w:p>
        </w:tc>
        <w:tc>
          <w:tcPr>
            <w:tcW w:type="dxa" w:w="2016"/>
          </w:tcPr>
          <w:p>
            <w:r>
              <w:rPr>
                <w:sz w:val="18"/>
              </w:rPr>
              <w:t>Stride (2,1) modification</w:t>
            </w:r>
          </w:p>
        </w:tc>
      </w:tr>
      <w:tr>
        <w:tc>
          <w:tcPr>
            <w:tcW w:type="dxa" w:w="2016"/>
          </w:tcPr>
          <w:p>
            <w:r>
              <w:rPr>
                <w:sz w:val="18"/>
              </w:rPr>
              <w:t>Relative Improvement</w:t>
            </w:r>
          </w:p>
        </w:tc>
        <w:tc>
          <w:tcPr>
            <w:tcW w:type="dxa" w:w="2016"/>
          </w:tcPr>
          <w:p>
            <w:r>
              <w:rPr>
                <w:sz w:val="18"/>
              </w:rPr>
              <w:t>25.7% ↓</w:t>
            </w:r>
          </w:p>
        </w:tc>
        <w:tc>
          <w:tcPr>
            <w:tcW w:type="dxa" w:w="2016"/>
          </w:tcPr>
          <w:p>
            <w:r>
              <w:rPr>
                <w:sz w:val="18"/>
              </w:rPr>
              <w:t>—</w:t>
            </w:r>
          </w:p>
        </w:tc>
        <w:tc>
          <w:tcPr>
            <w:tcW w:type="dxa" w:w="2016"/>
          </w:tcPr>
          <w:p>
            <w:r>
              <w:rPr>
                <w:sz w:val="18"/>
              </w:rPr>
              <w:t>Simpler</w:t>
            </w:r>
          </w:p>
        </w:tc>
        <w:tc>
          <w:tcPr>
            <w:tcW w:type="dxa" w:w="2016"/>
          </w:tcPr>
          <w:p>
            <w:r>
              <w:rPr>
                <w:sz w:val="18"/>
              </w:rPr>
              <w:t>Architecture optimization</w:t>
            </w:r>
          </w:p>
        </w:tc>
      </w:tr>
    </w:tbl>
    <w:p/>
    <w:p>
      <w:r>
        <w:t>Our method achieves 6.98% CER with 95% confidence interval [6.75%, 7.21%], representing a 25.7% relative improvement over Khan et al. [1]. Notably, we achieve this using simpler greedy decoding without attention mechanisms or beam search. The WER of 26.68% is higher than [1]'s 18.1%, which is expected as beam search with language models resolves word-level ambiguities. However, the substantial CER improvement validates our architectural optimization approach.</w:t>
      </w:r>
    </w:p>
    <w:p>
      <w:pPr>
        <w:pStyle w:val="Heading2"/>
      </w:pPr>
      <w:r>
        <w:t>4.3 Analysis</w:t>
      </w:r>
    </w:p>
    <w:p>
      <w:r>
        <w:rPr>
          <w:b/>
        </w:rPr>
        <w:t xml:space="preserve">Stride Modification Impact: </w:t>
      </w:r>
      <w:r>
        <w:t>Ablation experiments show that standard ResNet50 (2,2 stride throughout) yields ~8.5-9.0% CER, while our modified version achieves 6.98% CER—approximately 1.5-2.0% absolute improvement. This validates that preserving horizontal resolution is critical for text recognition.</w:t>
      </w:r>
    </w:p>
    <w:p>
      <w:r>
        <w:rPr>
          <w:b/>
        </w:rPr>
        <w:t xml:space="preserve">Architecture vs. Complexity: </w:t>
      </w:r>
      <w:r>
        <w:t>Our results demonstrate an important principle: task-specific architectural optimization can outperform general complexity. While [1] achieves strong results by adding attention to standard ResNet50, our approach achieves better character-level accuracy through architectural optimization alone. This suggests that understanding task requirements and designing accordingly is as important as adding sophisticated components.</w:t>
      </w:r>
    </w:p>
    <w:p>
      <w:r>
        <w:rPr>
          <w:b/>
        </w:rPr>
        <w:t xml:space="preserve">Error Analysis: </w:t>
      </w:r>
      <w:r>
        <w:t>Most errors involve: (i) visually similar characters differing in subtle features, (ii) rare conjunct characters with limited training examples, and (iii) extreme writing styles. Future work combining our architecture with beam search and language models could reduce WER while maintaining strong CER.</w:t>
      </w:r>
    </w:p>
    <w:p>
      <w:pPr>
        <w:pStyle w:val="Heading1"/>
      </w:pPr>
      <w:r>
        <w:t>5. Conclusion</w:t>
      </w:r>
    </w:p>
    <w:p>
      <w:r>
        <w:t>We presented an optimized ResNet50-BiLSTM-CTC architecture for Hindi handwritten text recognition, achieving 6.98% CER—a 25.7% improvement over state-of-the-art—using simpler greedy decoding. Our key contribution, modifying ResNet50 stride to (2,1) in deeper layers, preserves horizontal resolution critical for sequential text recognition. Results demonstrate that task-specific architectural optimization can outperform general complexity, providing a strong baseline and insights applicable to other sequence recognition tasks. Future work includes combining our optimized architecture with beam search and language models to improve word-level accuracy while maintaining strong character-level performance. This work establishes a foundation for advancing Devanagari HTR and demonstrates principles transferable to other complex scripts.</w:t>
      </w:r>
    </w:p>
    <w:p>
      <w:pPr>
        <w:pStyle w:val="Heading1"/>
      </w:pPr>
      <w:r>
        <w:t>Acknowledgments</w:t>
      </w:r>
    </w:p>
    <w:p>
      <w:r>
        <w:t>The author acknowledges the Department of Computer Science and Engineering, Sagar Institute of Research and Technology (SIRT), Bhopal, for providing computational resources and support for this research work.</w:t>
      </w:r>
    </w:p>
    <w:p>
      <w:pPr>
        <w:pStyle w:val="Heading1"/>
      </w:pPr>
      <w:r>
        <w:t>References</w:t>
      </w:r>
    </w:p>
    <w:p>
      <w:pPr>
        <w:ind w:left="360" w:hanging="360"/>
      </w:pPr>
      <w:r>
        <w:rPr>
          <w:sz w:val="18"/>
        </w:rPr>
        <w:t>[1] A. Khan, M. Z. Ansari, F. Ahmad, and S. M. Bilal, "Handwritten Hindi Text Recognition using ResNet50-BiLSTM," Procedia Computer Science, vol. 283, pp. 3040-3048, 2026.</w:t>
      </w:r>
    </w:p>
    <w:p>
      <w:pPr>
        <w:ind w:left="360" w:hanging="360"/>
      </w:pPr>
      <w:r>
        <w:rPr>
          <w:sz w:val="18"/>
        </w:rPr>
        <w:t>[2] K. He, X. Zhang, S. Ren, and J. Sun, "Deep Residual Learning for Image Recognition," in Proc. IEEE Conf. Computer Vision and Pattern Recognition (CVPR), pp. 770-778, 2016.</w:t>
      </w:r>
    </w:p>
    <w:p>
      <w:pPr>
        <w:ind w:left="360" w:hanging="360"/>
      </w:pPr>
      <w:r>
        <w:rPr>
          <w:sz w:val="18"/>
        </w:rPr>
        <w:t>[3] S. Hochreiter and J. Schmidhuber, "Long Short-Term Memory," Neural Computation, vol. 9, no. 8, pp. 1735-1780, 1997.</w:t>
      </w:r>
    </w:p>
    <w:p>
      <w:pPr>
        <w:ind w:left="360" w:hanging="360"/>
      </w:pPr>
      <w:r>
        <w:rPr>
          <w:sz w:val="18"/>
        </w:rPr>
        <w:t>[4] A. Graves, S. Fernández, F. Gomez, and J. Schmidhuber, "Connectionist Temporal Classification: Labelling Unsegmented Sequence Data with Recurrent Neural Networks," in Proc. Int. Conf. Machine Learning (ICML), pp. 369-376, 2006.</w:t>
      </w:r>
    </w:p>
    <w:p>
      <w:pPr>
        <w:ind w:left="360" w:hanging="360"/>
      </w:pPr>
      <w:r>
        <w:rPr>
          <w:sz w:val="18"/>
        </w:rPr>
        <w:t>[5] B. Shi, X. Bai, and C. Yao, "An End-to-End Trainable Neural Network for Image-based Sequence Recognition and Its Application to Scene Text Recognition," IEEE Trans. Pattern Analysis and Machine Intelligence, vol. 39, no. 11, pp. 2298-2304, 2017.</w:t>
      </w:r>
    </w:p>
    <w:p>
      <w:pPr>
        <w:ind w:left="360" w:hanging="360"/>
      </w:pPr>
      <w:r>
        <w:rPr>
          <w:sz w:val="18"/>
        </w:rPr>
        <w:t>[6] V. Jayadevan, S. R. Kolhe, P. M. Patil, and U. Pal, "Offline Recognition of Devanagari Script: A Survey," IEEE Trans. Systems, Man, and Cybernetics, Part C, vol. 41, no. 6, pp. 782-796, 2011.</w:t>
      </w:r>
    </w:p>
    <w:p>
      <w:pPr>
        <w:ind w:left="360" w:hanging="360"/>
      </w:pPr>
      <w:r>
        <w:rPr>
          <w:sz w:val="18"/>
        </w:rPr>
        <w:t>[7] J. Puigcerver, "Are Multidimensional Recurrent Layers Really Necessary for Handwritten Text Recognition?," in Proc. Int. Conf. Document Analysis and Recognition (ICDAR), pp. 67-72, 2017.</w:t>
      </w:r>
    </w:p>
    <w:p>
      <w:pPr>
        <w:ind w:left="360" w:hanging="360"/>
      </w:pPr>
      <w:r>
        <w:rPr>
          <w:sz w:val="18"/>
        </w:rPr>
        <w:t>[8] D. P. Kingma and J. Ba, "Adam: A Method for Stochastic Optimization," in Proc. Int. Conf. Learning Representations (ICLR), 2015.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