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Paper Updates Summary - Baseline Comparison</w:t>
      </w:r>
    </w:p>
    <w:p/>
    <w:p>
      <w:r>
        <w:rPr>
          <w:b/>
        </w:rPr>
        <w:t xml:space="preserve">Reference Paper: </w:t>
      </w:r>
      <w:r>
        <w:t>Khan et al. (2026) - "Handwritten Hindi Text Recognition using ResNet50-BiLSTM"</w:t>
      </w:r>
    </w:p>
    <w:p>
      <w:r>
        <w:rPr>
          <w:b/>
        </w:rPr>
        <w:t xml:space="preserve">Published in: </w:t>
      </w:r>
      <w:r>
        <w:t>Procedia Computer Science, Volume 283, Pages 3040-3048, 2026</w:t>
      </w:r>
    </w:p>
    <w:p>
      <w:r>
        <w:rPr>
          <w:b/>
        </w:rPr>
        <w:t xml:space="preserve">Baseline Results: </w:t>
      </w:r>
      <w:r>
        <w:t>CER: 9.4%, WER: 18.1%</w:t>
      </w:r>
    </w:p>
    <w:p/>
    <w:p>
      <w:pPr>
        <w:pStyle w:val="Heading2"/>
      </w:pPr>
      <w:r>
        <w:t>Our Performance Progression: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CER (%)</w:t>
            </w:r>
          </w:p>
        </w:tc>
        <w:tc>
          <w:tcPr>
            <w:tcW w:type="dxa" w:w="1728"/>
          </w:tcPr>
          <w:p>
            <w:r>
              <w:t>WER (%)</w:t>
            </w:r>
          </w:p>
        </w:tc>
        <w:tc>
          <w:tcPr>
            <w:tcW w:type="dxa" w:w="1728"/>
          </w:tcPr>
          <w:p>
            <w:r>
              <w:t>Improvement from Baseline</w:t>
            </w:r>
          </w:p>
        </w:tc>
      </w:tr>
      <w:tr>
        <w:tc>
          <w:tcPr>
            <w:tcW w:type="dxa" w:w="1728"/>
          </w:tcPr>
          <w:p>
            <w:r>
              <w:t>Prior Work</w:t>
            </w:r>
          </w:p>
        </w:tc>
        <w:tc>
          <w:tcPr>
            <w:tcW w:type="dxa" w:w="1728"/>
          </w:tcPr>
          <w:p>
            <w:r>
              <w:t>Khan et al. (2026)</w:t>
            </w:r>
          </w:p>
        </w:tc>
        <w:tc>
          <w:tcPr>
            <w:tcW w:type="dxa" w:w="1728"/>
          </w:tcPr>
          <w:p>
            <w:r>
              <w:t>9.4</w:t>
            </w:r>
          </w:p>
        </w:tc>
        <w:tc>
          <w:tcPr>
            <w:tcW w:type="dxa" w:w="1728"/>
          </w:tcPr>
          <w:p>
            <w:r>
              <w:t>18.1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</w:tr>
      <w:tr>
        <w:tc>
          <w:tcPr>
            <w:tcW w:type="dxa" w:w="1728"/>
          </w:tcPr>
          <w:p>
            <w:r>
              <w:t>Conference</w:t>
            </w:r>
          </w:p>
        </w:tc>
        <w:tc>
          <w:tcPr>
            <w:tcW w:type="dxa" w:w="1728"/>
          </w:tcPr>
          <w:p>
            <w:r>
              <w:t>A1 - Optimized Architecture</w:t>
            </w:r>
          </w:p>
        </w:tc>
        <w:tc>
          <w:tcPr>
            <w:tcW w:type="dxa" w:w="1728"/>
          </w:tcPr>
          <w:p>
            <w:r>
              <w:t>6.98</w:t>
            </w:r>
          </w:p>
        </w:tc>
        <w:tc>
          <w:tcPr>
            <w:tcW w:type="dxa" w:w="1728"/>
          </w:tcPr>
          <w:p>
            <w:r>
              <w:t>26.68</w:t>
            </w:r>
          </w:p>
        </w:tc>
        <w:tc>
          <w:tcPr>
            <w:tcW w:type="dxa" w:w="1728"/>
          </w:tcPr>
          <w:p>
            <w:r>
              <w:t>25.7% ↓ (relative)</w:t>
            </w:r>
          </w:p>
        </w:tc>
      </w:tr>
      <w:tr>
        <w:tc>
          <w:tcPr>
            <w:tcW w:type="dxa" w:w="1728"/>
          </w:tcPr>
          <w:p>
            <w:r>
              <w:t>Journal</w:t>
            </w:r>
          </w:p>
        </w:tc>
        <w:tc>
          <w:tcPr>
            <w:tcW w:type="dxa" w:w="1728"/>
          </w:tcPr>
          <w:p>
            <w:r>
              <w:t>A2 - Advanced Augmentation</w:t>
            </w:r>
          </w:p>
        </w:tc>
        <w:tc>
          <w:tcPr>
            <w:tcW w:type="dxa" w:w="1728"/>
          </w:tcPr>
          <w:p>
            <w:r>
              <w:t>2.70</w:t>
            </w:r>
          </w:p>
        </w:tc>
        <w:tc>
          <w:tcPr>
            <w:tcW w:type="dxa" w:w="1728"/>
          </w:tcPr>
          <w:p>
            <w:r>
              <w:t>12.53</w:t>
            </w:r>
          </w:p>
        </w:tc>
        <w:tc>
          <w:tcPr>
            <w:tcW w:type="dxa" w:w="1728"/>
          </w:tcPr>
          <w:p>
            <w:r>
              <w:t>71.3% ↓ (relative)</w:t>
            </w:r>
          </w:p>
        </w:tc>
      </w:tr>
    </w:tbl>
    <w:p/>
    <w:p>
      <w:pPr>
        <w:pStyle w:val="Heading2"/>
      </w:pPr>
      <w:r>
        <w:t>Impact Narrative:</w:t>
      </w:r>
    </w:p>
    <w:p>
      <w:r>
        <w:rPr>
          <w:b/>
        </w:rPr>
        <w:t>Starting Point: State-of-the-art was 9.4% CER (Khan et al., 2026)</w:t>
      </w:r>
    </w:p>
    <w:p/>
    <w:p>
      <w:r>
        <w:rPr>
          <w:b/>
        </w:rPr>
        <w:t>Conference Paper Contribution:</w:t>
      </w:r>
    </w:p>
    <w:p>
      <w:pPr>
        <w:pStyle w:val="ListBullet"/>
      </w:pPr>
      <w:r>
        <w:t>Achieved 6.98% CER through architectural optimization (stride modification)</w:t>
      </w:r>
    </w:p>
    <w:p>
      <w:pPr>
        <w:pStyle w:val="ListBullet"/>
      </w:pPr>
      <w:r>
        <w:t>25.7% relative improvement over prior work</w:t>
      </w:r>
    </w:p>
    <w:p>
      <w:pPr>
        <w:pStyle w:val="ListBullet"/>
      </w:pPr>
      <w:r>
        <w:t>Simpler approach (greedy decoding vs beam search)</w:t>
      </w:r>
    </w:p>
    <w:p>
      <w:pPr>
        <w:pStyle w:val="ListBullet"/>
      </w:pPr>
      <w:r>
        <w:t>Message: Architecture design matters for text recognition</w:t>
      </w:r>
    </w:p>
    <w:p/>
    <w:p>
      <w:r>
        <w:rPr>
          <w:b/>
        </w:rPr>
        <w:t>Journal Paper Contribution:</w:t>
      </w:r>
    </w:p>
    <w:p>
      <w:pPr>
        <w:pStyle w:val="ListBullet"/>
      </w:pPr>
      <w:r>
        <w:t>Achieved 2.70% CER through systematic augmentation + training optimization</w:t>
      </w:r>
    </w:p>
    <w:p>
      <w:pPr>
        <w:pStyle w:val="ListBullet"/>
      </w:pPr>
      <w:r>
        <w:t>71.3% relative improvement over prior work (9.4% → 2.70%)</w:t>
      </w:r>
    </w:p>
    <w:p>
      <w:pPr>
        <w:pStyle w:val="ListBullet"/>
      </w:pPr>
      <w:r>
        <w:t>61.3% relative improvement over our baseline (6.98% → 2.70%)</w:t>
      </w:r>
    </w:p>
    <w:p>
      <w:pPr>
        <w:pStyle w:val="ListBullet"/>
      </w:pPr>
      <w:r>
        <w:t>Message: Systematic methodology can outperform architectural complexity</w:t>
      </w:r>
    </w:p>
    <w:p/>
    <w:p>
      <w:r>
        <w:rPr>
          <w:b/>
        </w:rPr>
        <w:t>Overall Achievement:</w:t>
      </w:r>
    </w:p>
    <w:p>
      <w:pPr>
        <w:pStyle w:val="ListBullet"/>
      </w:pPr>
      <w:r>
        <w:t>Reduced error by more than 70% (9.4% → 2.70%)</w:t>
      </w:r>
    </w:p>
    <w:p>
      <w:pPr>
        <w:pStyle w:val="ListBullet"/>
      </w:pPr>
      <w:r>
        <w:t>Achieved production-ready accuracy (&lt;3% CER)</w:t>
      </w:r>
    </w:p>
    <w:p>
      <w:pPr>
        <w:pStyle w:val="ListBullet"/>
      </w:pPr>
      <w:r>
        <w:t>Established new state-of-the-art for Hindi HTR</w:t>
      </w:r>
    </w:p>
    <w:p>
      <w:pPr>
        <w:pStyle w:val="ListBullet"/>
      </w:pPr>
      <w:r>
        <w:t>Provided systematic pathway: architecture → augmentation → training</w:t>
      </w:r>
    </w:p>
    <w:p>
      <w:pPr>
        <w:pStyle w:val="Heading2"/>
      </w:pPr>
      <w:r>
        <w:t>Citation Format:</w:t>
      </w:r>
    </w:p>
    <w:p>
      <w:r>
        <w:t>[1] A. Khan, M. Z. Ansari, F. Ahmad, and S. M. Bilal, "Handwritten Hindi Text Recognition using ResNet50-BiLSTM," in Procedia Computer Science, vol. 283, pp. 3040-3048, 2026.</w:t>
      </w:r>
    </w:p>
    <w:p>
      <w:pPr>
        <w:pStyle w:val="Heading2"/>
      </w:pPr>
      <w:r>
        <w:t>File Locations:</w:t>
      </w:r>
    </w:p>
    <w:p>
      <w:pPr>
        <w:pStyle w:val="ListBullet"/>
      </w:pPr>
      <w:r>
        <w:t>Conference paper updates: /home/work/work/code/model_train/our_paper/conference_paper_updates.docx</w:t>
      </w:r>
    </w:p>
    <w:p>
      <w:pPr>
        <w:pStyle w:val="ListBullet"/>
      </w:pPr>
      <w:r>
        <w:t>Journal paper updates: /home/work/work/code/model_train/our_paper/journal/journal_paper_updates.docx</w:t>
      </w:r>
    </w:p>
    <w:p>
      <w:pPr>
        <w:pStyle w:val="ListBullet"/>
      </w:pPr>
      <w:r>
        <w:t>This summary: /home/work/work/code/model_train/our_paper/baseline_comparison_summary.docx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