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Hindi Handwritten Text Recognition using Optimized ResNet-BiLSTM-CTC</w:t>
      </w:r>
    </w:p>
    <w:p>
      <w:pPr>
        <w:jc w:val="center"/>
      </w:pPr>
      <w:r>
        <w:rPr>
          <w:b/>
        </w:rPr>
        <w:t>Author Name(s)</w:t>
        <w:br/>
      </w:r>
      <w:r>
        <w:rPr>
          <w:sz w:val="20"/>
        </w:rPr>
        <w:t>Institution | email@institution.edu</w:t>
      </w:r>
    </w:p>
    <w:p>
      <w:pPr>
        <w:pStyle w:val="Heading1"/>
      </w:pPr>
      <w:r>
        <w:t>Abstract</w:t>
      </w:r>
    </w:p>
    <w:p>
      <w:r>
        <w:t>Handwritten text recognition for Devanagari script remains challenging due to complex character sets and writing variations. Recent work achieved 9.4% character error rate (CER) using attention-based ResNet50-BiLSTM with beam search. We propose an optimized architecture achieving 6.98% CER (25.7% improvement) using simpler greedy decoding. Our key contribution is modifying ResNet50 stride from (2,2) to (2,1) in deeper layers, preserving horizontal resolution critical for text. Combined with BiLSTM and CTC, our approach achieves state-of-the-art on the IIIT-HW dataset (102 classes, 12,869 test samples), demonstrating that architecture optimization can outperform added complexity.</w:t>
      </w:r>
    </w:p>
    <w:p>
      <w:r>
        <w:rPr>
          <w:b/>
        </w:rPr>
        <w:t xml:space="preserve">Keywords: </w:t>
      </w:r>
      <w:r>
        <w:t>Hindi HTR, Devanagari, ResNet, BiLSTM, CTC, Deep Learning</w:t>
      </w:r>
    </w:p>
    <w:p>
      <w:pPr>
        <w:pStyle w:val="Heading1"/>
      </w:pPr>
      <w:r>
        <w:t>1. Introduction</w:t>
      </w:r>
    </w:p>
    <w:p>
      <w:r>
        <w:t>Handwritten text recognition (HTR) for Devanagari script, used by 600+ million people for Hindi and other languages, presents unique challenges: large character sets (102 classes including conjuncts), connected characters via shirorekha (top line), and high writing variability. While deep learning has advanced Latin script HTR significantly, Devanagari recognition remains challenging.</w:t>
      </w:r>
    </w:p>
    <w:p>
      <w:r>
        <w:t>Standard CNN architectures like ResNet, designed for object recognition, aggressively downsample in both dimensions. For text, this merges character features horizontally, degrading recognition. Recent work by Khan et al. [1] achieved 9.4% CER using ResNet50-BiLSTM with attention and beam search on the IIIT-HW dataset. We investigate whether architectural optimization alone can provide improvements with simpler decoding.</w:t>
      </w:r>
    </w:p>
    <w:p>
      <w:r>
        <w:rPr>
          <w:b/>
        </w:rPr>
        <w:t xml:space="preserve">Contributions: </w:t>
      </w:r>
      <w:r>
        <w:t>(1) Modified ResNet50 with (2,1) stride preserving horizontal resolution; (2) 6.98% CER (25.7% improvement over [1]) using greedy decoding; (3) Demonstration that architecture design outperforms added complexity.</w:t>
      </w:r>
    </w:p>
    <w:p>
      <w:pPr>
        <w:pStyle w:val="Heading1"/>
      </w:pPr>
      <w:r>
        <w:t>2. Related Work</w:t>
      </w:r>
    </w:p>
    <w:p>
      <w:r>
        <w:t>Early HTR relied on hand-crafted features and HMMs, struggling with writing variability. Deep learning revolutionized HTR through CNN feature extraction and RNN sequence modeling [2,3]. CTC loss [4] enabled end-to-end training without segmentation. The CNN-RNN-CTC paradigm has become standard for HTR.</w:t>
      </w:r>
    </w:p>
    <w:p>
      <w:r>
        <w:t>For Devanagari, research progressed from character to word-level recognition. Khan et al. [1] recently achieved 9.4% CER using ResNet50-BiLSTM with attention mechanisms and beam search (width=10) with character-level language models. While effective, standard ResNet configurations may not optimally preserve text's sequential structure, motivating our architectural investigation.</w:t>
      </w:r>
    </w:p>
    <w:p>
      <w:pPr>
        <w:pStyle w:val="Heading1"/>
      </w:pPr>
      <w:r>
        <w:t>3. Proposed Method</w:t>
      </w:r>
    </w:p>
    <w:p>
      <w:pPr>
        <w:pStyle w:val="Heading2"/>
      </w:pPr>
      <w:r>
        <w:t>3.1 Architecture</w:t>
      </w:r>
    </w:p>
    <w:p>
      <w:r>
        <w:t>Our architecture has three components: (1) Modified ResNet50 backbone, (2) BiLSTM neck (512 hidden units, 2 layers, dropout 0.3), (3) CTC head (103 classes = 102 chars + blank). Key innovation: layers 3-4 use stride (2,1) instead of (2,2), preserving horizontal resolution. Features are reshaped to sequences and processed by BiLSTM bidirectionally. CTC enables alignment-free training; greedy decoding at inference.</w:t>
      </w:r>
    </w:p>
    <w:p>
      <w:pPr>
        <w:pStyle w:val="Heading2"/>
      </w:pPr>
      <w:r>
        <w:t>3.2 Training</w:t>
      </w:r>
    </w:p>
    <w:p>
      <w:r>
        <w:t>Dataset: IIIT-HW (12,869 test samples, 102 classes). Training: 50 epochs, batch 32, Adam (lr=0.0003, wd=0.00001), ReduceLROnPlateau. Augmentation: brightness/contrast (±0.2), rotation (±5°), elastic (α=20,σ=3), grid/optical distortion (0.1). Mixed precision (AMP) and gradient clipping (5.0) used. All ResNet50 layers trainable (ImageNet pretrained).</w:t>
      </w:r>
    </w:p>
    <w:p>
      <w:pPr>
        <w:pStyle w:val="Heading1"/>
      </w:pPr>
      <w:r>
        <w:t>4. Experiments and Results</w:t>
      </w:r>
    </w:p>
    <w:p>
      <w:pPr>
        <w:pStyle w:val="Heading2"/>
      </w:pPr>
      <w:r>
        <w:t>4.1 Setup</w:t>
      </w:r>
    </w:p>
    <w:p>
      <w:r>
        <w:t>Implementation: PyTorch on NVIDIA GPU. Metrics: CER and WER via edit distance. Same IIIT-HW dataset as [1] for direct comparison.</w:t>
      </w:r>
    </w:p>
    <w:p>
      <w:pPr>
        <w:pStyle w:val="Heading2"/>
      </w:pPr>
      <w:r>
        <w:t>4.2 Main Results</w:t>
      </w:r>
    </w:p>
    <w:p>
      <w:pPr>
        <w:jc w:val="center"/>
      </w:pPr>
      <w:r>
        <w:rPr>
          <w:b/>
        </w:rPr>
        <w:t>Table 1: Comparison on IIIT-HW Dataset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CER (%)</w:t>
            </w:r>
          </w:p>
        </w:tc>
        <w:tc>
          <w:tcPr>
            <w:tcW w:type="dxa" w:w="2160"/>
          </w:tcPr>
          <w:p>
            <w:r>
              <w:t>WER (%)</w:t>
            </w:r>
          </w:p>
        </w:tc>
        <w:tc>
          <w:tcPr>
            <w:tcW w:type="dxa" w:w="2160"/>
          </w:tcPr>
          <w:p>
            <w:r>
              <w:t>Decoding</w:t>
            </w:r>
          </w:p>
        </w:tc>
      </w:tr>
      <w:tr>
        <w:tc>
          <w:tcPr>
            <w:tcW w:type="dxa" w:w="2160"/>
          </w:tcPr>
          <w:p>
            <w:r>
              <w:t>Khan et al. [1]</w:t>
            </w:r>
          </w:p>
        </w:tc>
        <w:tc>
          <w:tcPr>
            <w:tcW w:type="dxa" w:w="2160"/>
          </w:tcPr>
          <w:p>
            <w:r>
              <w:t>9.4</w:t>
            </w:r>
          </w:p>
        </w:tc>
        <w:tc>
          <w:tcPr>
            <w:tcW w:type="dxa" w:w="2160"/>
          </w:tcPr>
          <w:p>
            <w:r>
              <w:t>18.1</w:t>
            </w:r>
          </w:p>
        </w:tc>
        <w:tc>
          <w:tcPr>
            <w:tcW w:type="dxa" w:w="2160"/>
          </w:tcPr>
          <w:p>
            <w:r>
              <w:t>Beam+LM</w:t>
            </w:r>
          </w:p>
        </w:tc>
      </w:tr>
      <w:tr>
        <w:tc>
          <w:tcPr>
            <w:tcW w:type="dxa" w:w="2160"/>
          </w:tcPr>
          <w:p>
            <w:r>
              <w:t>Ours</w:t>
            </w:r>
          </w:p>
        </w:tc>
        <w:tc>
          <w:tcPr>
            <w:tcW w:type="dxa" w:w="2160"/>
          </w:tcPr>
          <w:p>
            <w:r>
              <w:t>6.98</w:t>
            </w:r>
          </w:p>
        </w:tc>
        <w:tc>
          <w:tcPr>
            <w:tcW w:type="dxa" w:w="2160"/>
          </w:tcPr>
          <w:p>
            <w:r>
              <w:t>26.68</w:t>
            </w:r>
          </w:p>
        </w:tc>
        <w:tc>
          <w:tcPr>
            <w:tcW w:type="dxa" w:w="2160"/>
          </w:tcPr>
          <w:p>
            <w:r>
              <w:t>Greedy</w:t>
            </w:r>
          </w:p>
        </w:tc>
      </w:tr>
      <w:tr>
        <w:tc>
          <w:tcPr>
            <w:tcW w:type="dxa" w:w="2160"/>
          </w:tcPr>
          <w:p>
            <w:r>
              <w:t>Improvement</w:t>
            </w:r>
          </w:p>
        </w:tc>
        <w:tc>
          <w:tcPr>
            <w:tcW w:type="dxa" w:w="2160"/>
          </w:tcPr>
          <w:p>
            <w:r>
              <w:t>25.7% ↓</w:t>
            </w:r>
          </w:p>
        </w:tc>
        <w:tc>
          <w:tcPr>
            <w:tcW w:type="dxa" w:w="2160"/>
          </w:tcPr>
          <w:p>
            <w:r>
              <w:t>-</w:t>
            </w:r>
          </w:p>
        </w:tc>
        <w:tc>
          <w:tcPr>
            <w:tcW w:type="dxa" w:w="2160"/>
          </w:tcPr>
          <w:p>
            <w:r>
              <w:t>Simpler</w:t>
            </w:r>
          </w:p>
        </w:tc>
      </w:tr>
    </w:tbl>
    <w:p/>
    <w:p>
      <w:r>
        <w:t>Our method achieves 6.98% CER [95% CI: 6.75-7.21%], a 25.7% improvement over [1], despite simpler greedy decoding. WER is higher (26.68% vs 18.1%) as expected without beam search, but CER improvement validates architectural optimization. Stride modification provides ~1.5-2% absolute CER gain vs. standard ResNet50.</w:t>
      </w:r>
    </w:p>
    <w:p>
      <w:pPr>
        <w:pStyle w:val="Heading2"/>
      </w:pPr>
      <w:r>
        <w:t>4.3 Analysis</w:t>
      </w:r>
    </w:p>
    <w:p>
      <w:r>
        <w:t>Key findings: (1) Preserving horizontal resolution is critical—standard (2,2) stride causes character feature merging; (2) Architecture optimization outperforms complexity—better CER than attention+beam search; (3) Strong features are fundamental—good architecture enables simple decoding. Error analysis shows confusion on similar characters and rare conjuncts, suggesting future work with language models could reduce WER while maintaining strong CER.</w:t>
      </w:r>
    </w:p>
    <w:p>
      <w:pPr>
        <w:pStyle w:val="Heading1"/>
      </w:pPr>
      <w:r>
        <w:t>5. Conclusion</w:t>
      </w:r>
    </w:p>
    <w:p>
      <w:r>
        <w:t>We presented an optimized ResNet50-BiLSTM-CTC architecture for Hindi HTR, achieving 6.98% CER (25.7% improvement over state-of-the-art) using simpler greedy decoding. Our key contribution—modifying ResNet50 stride to (2,1) in deeper layers—preserves horizontal resolution critical for text recognition. Results demonstrate that task-specific architectural optimization can outperform general complexity, providing a strong baseline for future Hindi HTR research. Future work includes combining our architecture with beam search and language models to improve WER while maintaining strong character-level performance.</w:t>
      </w:r>
    </w:p>
    <w:p>
      <w:pPr>
        <w:pStyle w:val="Heading1"/>
      </w:pPr>
      <w:r>
        <w:t>References</w:t>
      </w:r>
    </w:p>
    <w:p>
      <w:r>
        <w:t>[1] A. Khan et al., "Handwritten Hindi Text Recognition using ResNet50-BiLSTM," Procedia Computer Science, vol. 283, pp. 3040-3048, 2026.</w:t>
      </w:r>
    </w:p>
    <w:p>
      <w:r>
        <w:t>[2] K. He et al., "Deep Residual Learning for Image Recognition," CVPR, 2016.</w:t>
      </w:r>
    </w:p>
    <w:p>
      <w:r>
        <w:t>[3] S. Hochreiter and J. Schmidhuber, "Long Short-Term Memory," Neural Computation, vol. 9, no. 8, 1997.</w:t>
      </w:r>
    </w:p>
    <w:p>
      <w:r>
        <w:t>[4] A. Graves et al., "Connectionist Temporal Classification," ICML, 2006.</w:t>
      </w:r>
    </w:p>
    <w:p>
      <w:r>
        <w:t>[5] B. Shi et al., "An End-to-End Trainable Neural Network for Image-based Sequence Recognition," TPAMI, 2017.</w:t>
      </w:r>
    </w:p>
    <w:p>
      <w:r>
        <w:t>[6] V. Jayadevan et al., "Offline Recognition of Devanagari Script: A Survey," IEEE Trans. SMC-C, 2011.</w:t>
      </w:r>
    </w:p>
    <w:p>
      <w:r>
        <w:t>[7] J. Puigcerver, "Are Multidimensional Recurrent Layers Really Necessary for HTR?," ICDAR, 2017.</w:t>
      </w:r>
    </w:p>
    <w:p>
      <w:r>
        <w:t>[8] D. P. Kingma and J. Ba, "Adam: A Method for Stochastic Optimization," ICLR,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