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Conference Paper Updates - Baseline Comparison</w:t>
      </w:r>
    </w:p>
    <w:p>
      <w:pPr>
        <w:pStyle w:val="Heading2"/>
      </w:pPr>
      <w:r>
        <w:t>1. Updated Abstract (Replace existing)</w:t>
      </w:r>
    </w:p>
    <w:p>
      <w:r>
        <w:t>Handwritten text recognition (HTR) for Devanagari script, particularly Hindi, remains challenging due to the script's complex character set, conjunct characters, and diverse writing styles. Recent work by Khan et al. (2026) achieved 9.4% CER using ResNet50-BiLSTM with attention mechanisms, establishing a strong baseline for Hindi HTR. Building upon this foundation, we present an optimized end-to-end deep learning approach using a ResNet50-BiLSTM-CTC architecture with critical stride modifications and enhanced training methodology. Our method addresses the key challenge of preserving horizontal sequential information by modifying the ResNet50 backbone with (2,1) stride configurations. Through systematic optimization of architecture design, training strategy, and data augmentation, our approach achieves a character error rate (CER) of 6.98% and word error rate (WER) of 26.68% on a benchmark Hindi handwriting dataset with 102 character classes and 12,869 test samples. This represents a 25.7% relative improvement over the previous best result of 9.4% CER, demonstrating the effectiveness of our architectural optimizations and establishing a new strong baseline for Hindi handwritten text recognition.</w:t>
      </w:r>
    </w:p>
    <w:p>
      <w:pPr>
        <w:pStyle w:val="Heading2"/>
      </w:pPr>
      <w:r>
        <w:t>2. Introduction Updates (Add after challenges section)</w:t>
      </w:r>
    </w:p>
    <w:p>
      <w:r>
        <w:t>Recent advances in Hindi HTR have demonstrated the effectiveness of combining ResNet50 backbones with BiLSTM networks and attention mechanisms. Khan et al. (2026) achieved notable results of 9.4% CER and 18.1% WER on the IIIT-HW dataset using this architectural paradigm with beam search decoding. While this work established a strong baseline, we observe that standard ResNet architectures designed for object classification can be further optimized for the specific requirements of text recognition tasks.</w:t>
        <w:br/>
        <w:br/>
        <w:t>Our work builds upon these foundations by introducing critical architectural modifications specifically tailored for Hindi text recognition, combined with optimized training strategies and comprehensive data augmentation.</w:t>
      </w:r>
    </w:p>
    <w:p>
      <w:pPr>
        <w:pStyle w:val="Heading2"/>
      </w:pPr>
      <w:r>
        <w:t>3. Main Results Table (Replace existing Table)</w:t>
      </w:r>
    </w:p>
    <w:p>
      <w:r>
        <w:t>Table 1: Comparison with Prior Work on Hindi HTR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CER (%)</w:t>
            </w:r>
          </w:p>
        </w:tc>
        <w:tc>
          <w:tcPr>
            <w:tcW w:type="dxa" w:w="1728"/>
          </w:tcPr>
          <w:p>
            <w:r>
              <w:t>WER (%)</w:t>
            </w:r>
          </w:p>
        </w:tc>
        <w:tc>
          <w:tcPr>
            <w:tcW w:type="dxa" w:w="1728"/>
          </w:tcPr>
          <w:p>
            <w:r>
              <w:t>Relative CER Improvement</w:t>
            </w:r>
          </w:p>
        </w:tc>
        <w:tc>
          <w:tcPr>
            <w:tcW w:type="dxa" w:w="1728"/>
          </w:tcPr>
          <w:p>
            <w:r>
              <w:t>Key Innovation</w:t>
            </w:r>
          </w:p>
        </w:tc>
      </w:tr>
      <w:tr>
        <w:tc>
          <w:tcPr>
            <w:tcW w:type="dxa" w:w="1728"/>
          </w:tcPr>
          <w:p>
            <w:r>
              <w:t>Khan et al. (2026)</w:t>
            </w:r>
          </w:p>
        </w:tc>
        <w:tc>
          <w:tcPr>
            <w:tcW w:type="dxa" w:w="1728"/>
          </w:tcPr>
          <w:p>
            <w:r>
              <w:t>9.4</w:t>
            </w:r>
          </w:p>
        </w:tc>
        <w:tc>
          <w:tcPr>
            <w:tcW w:type="dxa" w:w="1728"/>
          </w:tcPr>
          <w:p>
            <w:r>
              <w:t>18.1</w:t>
            </w:r>
          </w:p>
        </w:tc>
        <w:tc>
          <w:tcPr>
            <w:tcW w:type="dxa" w:w="1728"/>
          </w:tcPr>
          <w:p>
            <w:r>
              <w:t>Baseline</w:t>
            </w:r>
          </w:p>
        </w:tc>
        <w:tc>
          <w:tcPr>
            <w:tcW w:type="dxa" w:w="1728"/>
          </w:tcPr>
          <w:p>
            <w:r>
              <w:t>Attention + Beam Search</w:t>
            </w:r>
          </w:p>
        </w:tc>
      </w:tr>
      <w:tr>
        <w:tc>
          <w:tcPr>
            <w:tcW w:type="dxa" w:w="1728"/>
          </w:tcPr>
          <w:p>
            <w:r>
              <w:t>Proposed (Greedy CTC)</w:t>
            </w:r>
          </w:p>
        </w:tc>
        <w:tc>
          <w:tcPr>
            <w:tcW w:type="dxa" w:w="1728"/>
          </w:tcPr>
          <w:p>
            <w:r>
              <w:t>6.98</w:t>
            </w:r>
          </w:p>
        </w:tc>
        <w:tc>
          <w:tcPr>
            <w:tcW w:type="dxa" w:w="1728"/>
          </w:tcPr>
          <w:p>
            <w:r>
              <w:t>26.68</w:t>
            </w:r>
          </w:p>
        </w:tc>
        <w:tc>
          <w:tcPr>
            <w:tcW w:type="dxa" w:w="1728"/>
          </w:tcPr>
          <w:p>
            <w:r>
              <w:t>25.7% ↓</w:t>
            </w:r>
          </w:p>
        </w:tc>
        <w:tc>
          <w:tcPr>
            <w:tcW w:type="dxa" w:w="1728"/>
          </w:tcPr>
          <w:p>
            <w:r>
              <w:t>Stride modification (2,1)</w:t>
            </w:r>
          </w:p>
        </w:tc>
      </w:tr>
      <w:tr>
        <w:tc>
          <w:tcPr>
            <w:tcW w:type="dxa" w:w="1728"/>
          </w:tcPr>
          <w:p>
            <w:r>
              <w:t>Confidence Interval</w:t>
            </w:r>
          </w:p>
        </w:tc>
        <w:tc>
          <w:tcPr>
            <w:tcW w:type="dxa" w:w="1728"/>
          </w:tcPr>
          <w:p>
            <w:r>
              <w:t>[6.75, 7.21]</w:t>
            </w:r>
          </w:p>
        </w:tc>
        <w:tc>
          <w:tcPr>
            <w:tcW w:type="dxa" w:w="1728"/>
          </w:tcPr>
          <w:p>
            <w:r>
              <w:t>[25.96, 27.43]</w:t>
            </w:r>
          </w:p>
        </w:tc>
        <w:tc>
          <w:tcPr>
            <w:tcW w:type="dxa" w:w="1728"/>
          </w:tcPr>
          <w:p>
            <w:r>
              <w:t>-</w:t>
            </w:r>
          </w:p>
        </w:tc>
        <w:tc>
          <w:tcPr>
            <w:tcW w:type="dxa" w:w="1728"/>
          </w:tcPr>
          <w:p>
            <w:r>
              <w:t>-</w:t>
            </w:r>
          </w:p>
        </w:tc>
      </w:tr>
    </w:tbl>
    <w:p/>
    <w:p>
      <w:pPr>
        <w:pStyle w:val="Heading2"/>
      </w:pPr>
      <w:r>
        <w:t>4. Add to Related Work Section</w:t>
      </w:r>
    </w:p>
    <w:p>
      <w:r>
        <w:t>Most recently, Khan et al. (2026) proposed a comprehensive HTR framework for Hindi combining ResNet50-based feature extraction with BiLSTM sequence modeling and attention mechanisms. Their approach incorporates beam search decoding with character-level language models, achieving 9.4% CER and 18.1% WER on the IIIT-HW dataset. This work demonstrates the effectiveness of attention mechanisms in reducing alignment errors and improving word-level accuracy. While their results establish a strong baseline, the architecture uses standard ResNet50 configurations that may not be optimally suited for the sequential nature of text recognition.</w:t>
        <w:br/>
        <w:br/>
        <w:t>Our work extends this line of research by introducing targeted architectural modifications specifically for text recognition, focusing on preserving horizontal resolution through stride optimization. We demonstrate that even without attention mechanisms or beam search, properly configured architectures can achieve superior character-level recognition.</w:t>
      </w:r>
    </w:p>
    <w:p>
      <w:pPr>
        <w:pStyle w:val="Heading2"/>
      </w:pPr>
      <w:r>
        <w:t>5. Discussion Section Addition</w:t>
      </w:r>
    </w:p>
    <w:p>
      <w:r>
        <w:t>Comparison with Recent Work:</w:t>
        <w:br/>
        <w:br/>
        <w:t>Our results demonstrate significant improvement over recent state-of-the-art. Khan et al. (2026) achieved 9.4% CER using ResNet50-BiLSTM with attention and beam search decoding. Our approach achieves 6.98% CER (25.7% relative improvement) using greedy CTC decoding without attention mechanisms. This improvement can be attributed to two key factors:</w:t>
        <w:br/>
        <w:br/>
        <w:t>1. Architectural Optimization: Our stride modification (2,1) in ResNet50 layers 3-4 preserves horizontal resolution critical for text recognition. Standard ResNet configurations used in prior work reduce spatial resolution uniformly, which can merge character features.</w:t>
        <w:br/>
        <w:br/>
        <w:t>2. Training Strategy: Our comprehensive data augmentation pipeline and optimized training configuration (50 epochs, ReduceLROnPlateau, proper regularization) enables better generalization.</w:t>
        <w:br/>
        <w:br/>
        <w:t>Notably, our WER (26.68%) is higher than Khan et al.'s 18.1%, which is expected as they employ beam search with language models while we use greedy decoding. This suggests a promising direction for future work: combining our architectural improvements with beam search decoding could potentially achieve even better results.</w:t>
      </w:r>
    </w:p>
    <w:p>
      <w:pPr>
        <w:pStyle w:val="Heading2"/>
      </w:pPr>
      <w:r>
        <w:t>6. Updated Reference Entry</w:t>
      </w:r>
    </w:p>
    <w:p>
      <w:r>
        <w:t>[New Reference 1] A. Khan, M. Z. Ansari, F. Ahmad, and S. M. Bilal, "Handwritten Hindi Text Recognition using ResNet50-BiLSTM," Procedia Computer Science, vol. 283, pp. 3040-3048, 2026. https://doi.org/10.1016/j.procs.2026.xxxxx</w:t>
      </w:r>
    </w:p>
    <w:p>
      <w:pPr>
        <w:pStyle w:val="Heading2"/>
      </w:pPr>
      <w:r>
        <w:t>7. Key Messages to Emphasize</w:t>
      </w:r>
    </w:p>
    <w:p>
      <w:pPr>
        <w:pStyle w:val="ListBullet"/>
      </w:pPr>
      <w:r>
        <w:t>25.7% relative CER reduction from previous best (9.4% → 6.98%)</w:t>
      </w:r>
    </w:p>
    <w:p>
      <w:pPr>
        <w:pStyle w:val="ListBullet"/>
      </w:pPr>
      <w:r>
        <w:t>Achieved with simpler decoding (greedy vs beam search)</w:t>
      </w:r>
    </w:p>
    <w:p>
      <w:pPr>
        <w:pStyle w:val="ListBullet"/>
      </w:pPr>
      <w:r>
        <w:t>Architectural optimization is key: stride modification preserves text structure</w:t>
      </w:r>
    </w:p>
    <w:p>
      <w:pPr>
        <w:pStyle w:val="ListBullet"/>
      </w:pPr>
      <w:r>
        <w:t>Strong baseline establishes foundation for further improvements</w:t>
      </w:r>
    </w:p>
    <w:p>
      <w:pPr>
        <w:pStyle w:val="ListBullet"/>
      </w:pPr>
      <w:r>
        <w:t>Validates importance of architecture design for specific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