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Systematic Data Augmentation and Training Optimization for Hindi Handwritten Text Recognition: From Architectural Design to Production-Ready System</w:t>
      </w:r>
    </w:p>
    <w:p/>
    <w:p>
      <w:pPr>
        <w:jc w:val="center"/>
      </w:pPr>
      <w:r>
        <w:rPr>
          <w:rFonts w:ascii="Times New Roman" w:hAnsi="Times New Roman"/>
          <w:b/>
          <w:sz w:val="22"/>
        </w:rPr>
        <w:t>Ashish Kumar</w:t>
      </w:r>
    </w:p>
    <w:p>
      <w:pPr>
        <w:jc w:val="center"/>
      </w:pPr>
      <w:r>
        <w:rPr>
          <w:rFonts w:ascii="Times New Roman" w:hAnsi="Times New Roman"/>
          <w:sz w:val="22"/>
        </w:rPr>
        <w:t>Department of Computer Science and Engineering</w:t>
        <w:br/>
      </w:r>
      <w:r>
        <w:rPr>
          <w:rFonts w:ascii="Times New Roman" w:hAnsi="Times New Roman"/>
          <w:sz w:val="22"/>
        </w:rPr>
        <w:t>Sagar Institute of Research and Technology (SIRT), Bhopal</w:t>
        <w:br/>
      </w:r>
    </w:p>
    <w:p>
      <w:pPr>
        <w:jc w:val="center"/>
      </w:pPr>
      <w:r>
        <w:rPr>
          <w:rFonts w:ascii="Times New Roman" w:hAnsi="Times New Roman"/>
          <w:i/>
          <w:sz w:val="20"/>
        </w:rPr>
        <w:t>ashish.kumar@sirt.edu.in</w:t>
      </w:r>
    </w:p>
    <w:p/>
    <w:p>
      <w:pPr>
        <w:pStyle w:val="Heading1"/>
      </w:pPr>
      <w:r>
        <w:t>Abstract</w:t>
      </w:r>
    </w:p>
    <w:p>
      <w:pPr>
        <w:jc w:val="both"/>
      </w:pPr>
      <w:r>
        <w:t>Handwritten text recognition (HTR) for Devanagari script remains challenging due to its complex character set (102 classes), numerous conjunct characters, and high variability in writing styles. Recent work by Khan et al. (2026) achieved 9.4% character error rate (CER) on the IIIT-HW dataset using attention mechanisms and beam search decoding. Building upon our previous architectural optimization work that improved this baseline to 6.98% CER through ResNet50 stride modifications, this paper presents a comprehensive data augmentation and training optimization framework that achieves 2.70% CER and 12.53% word error rate (WER)—representing a 71.3% relative improvement over the state-of-the-art baseline. We introduce a five-category augmentation pipeline specifically designed for handwritten text, including elastic deformations, affine transformations, perspective distortions, morphological operations, and controlled noise injection. Combined with extended training schedules (100 epochs) and cosine annealing learning rate strategy, our approach demonstrates that systematic augmentation and training optimization can bridge the gap between research prototypes and production-ready HTR systems. The complete methodology is reproducible using standard deep learning frameworks and publicly available datasets.</w:t>
      </w:r>
    </w:p>
    <w:p>
      <w:r>
        <w:rPr>
          <w:b/>
        </w:rPr>
        <w:t xml:space="preserve">Keywords: </w:t>
      </w:r>
      <w:r>
        <w:t>Handwritten Text Recognition, Devanagari Script, Hindi HTR, Data Augmentation, ResNet-BiLSTM, CTC, Deep Learning, Computer Vision</w:t>
      </w:r>
    </w:p>
    <w:p/>
    <w:p>
      <w:pPr>
        <w:pStyle w:val="Heading1"/>
      </w:pPr>
      <w:r>
        <w:t>1. Introduction</w:t>
      </w:r>
    </w:p>
    <w:p>
      <w:pPr>
        <w:jc w:val="both"/>
      </w:pPr>
      <w:r>
        <w:t>Handwritten text recognition (HTR) has seen remarkable progress with deep learning, yet significant challenges remain for complex scripts like Devanagari. Used for Hindi and other Indian languages, Devanagari script presents unique difficulties: a large character inventory (102 classes in standard Hindi), extensive use of conjunct characters (ligatures combining multiple base characters), presence of modifiers and diacritics that alter pronunciation, a characteristic horizontal line (shirorekha) connecting characters, and substantial variability in handwriting styles across writers and contexts.</w:t>
      </w:r>
    </w:p>
    <w:p>
      <w:pPr>
        <w:jc w:val="both"/>
      </w:pPr>
      <w:r>
        <w:t>Recent state-of-the-art work by Khan et al. (2026) [1] reported 9.4% CER and 18.1% WER on the IIIT-HW Hindi handwriting dataset using attention-based architectures with beam search and language model integration. While impressive, this performance still falls short of production deployment requirements for applications such as automatic form processing, historical document digitization, educational assessment automation, and assistive technologies for visually impaired users.</w:t>
      </w:r>
    </w:p>
    <w:p>
      <w:pPr>
        <w:jc w:val="both"/>
      </w:pPr>
      <w:r>
        <w:t>This paper builds upon our previous conference work where we achieved 6.98% CER through architectural optimization—specifically modifying ResNet50's stride configuration to preserve horizontal resolution critical for text recognition. While this represented a significant 25.7% relative improvement over the baseline, we recognized that architectural design alone was insufficient for production-ready HTR systems. The current work addresses this gap through systematic investigation of data augmentation strategies and training optimization techniques.</w:t>
      </w:r>
    </w:p>
    <w:p>
      <w:pPr>
        <w:jc w:val="both"/>
      </w:pPr>
      <w:r>
        <w:t>The key contributions of this work are:</w:t>
        <w:br/>
        <w:t>1. A comprehensive five-category data augmentation pipeline specifically designed for handwritten text recognition, including elastic deformations, affine transformations, perspective distortions, morphological operations, and controlled noise injection.</w:t>
        <w:br/>
        <w:t>2. Systematic training optimization incorporating extended training schedules (100 epochs), cosine annealing learning rate strategy, and enhanced regularization techniques.</w:t>
        <w:br/>
        <w:t>3. Extensive ablation studies quantifying the individual and combined impact of each augmentation category and training modification.</w:t>
        <w:br/>
        <w:t>4. Achievement of 2.70% CER and 12.53% WER on the IIIT-HW dataset—a 71.3% relative improvement over recent state-of-the-art and 61.3% improvement over our architectural baseline.</w:t>
        <w:br/>
        <w:t>5. A complete, reproducible methodology demonstrating the path from research prototype to production-ready HTR system.</w:t>
      </w:r>
    </w:p>
    <w:p>
      <w:pPr>
        <w:jc w:val="both"/>
      </w:pPr>
      <w:r>
        <w:t>The remainder of this paper is organized as follows: Section 2 reviews related work in HTR and data augmentation. Section 3 describes our methodology including architecture, augmentation pipeline, and training configuration. Section 4 presents extensive experimental results and ablation studies. Section 5 provides detailed error analysis and discusses insights. Section 6 concludes with future research directions.</w:t>
      </w:r>
    </w:p>
    <w:p>
      <w:pPr>
        <w:pStyle w:val="Heading1"/>
      </w:pPr>
      <w:r>
        <w:t>2. Related Work</w:t>
      </w:r>
    </w:p>
    <w:p>
      <w:pPr>
        <w:pStyle w:val="Heading2"/>
      </w:pPr>
      <w:r>
        <w:t>2.1 Handwritten Text Recognition</w:t>
      </w:r>
    </w:p>
    <w:p>
      <w:pPr>
        <w:jc w:val="both"/>
      </w:pPr>
      <w:r>
        <w:t>Traditional HTR approaches relied on hidden Markov models (HMMs) with hand-crafted features such as histogram of oriented gradients (HOG), scale-invariant feature transform (SIFT), and gradient-based features. While achieving moderate success on constrained datasets, these methods struggled with the variability inherent in natural handwriting and required extensive feature engineering expertise.</w:t>
      </w:r>
    </w:p>
    <w:p>
      <w:pPr>
        <w:jc w:val="both"/>
      </w:pPr>
      <w:r>
        <w:t>The deep learning revolution transformed HTR through end-to-end trainable architectures. Graves et al. [4] introduced the combination of recurrent neural networks with Connectionist Temporal Classification (CTC), enabling sequence-to-sequence learning without explicit character segmentation. This foundational work inspired numerous variants combining convolutional neural networks (CNNs) for visual feature extraction with recurrent neural networks (RNNs) for sequence modeling.</w:t>
      </w:r>
    </w:p>
    <w:p>
      <w:pPr>
        <w:jc w:val="both"/>
      </w:pPr>
      <w:r>
        <w:t>For Devanagari HTR specifically, several studies have explored different architectural choices. Early deep learning works used custom CNN architectures followed by LSTM layers. More recent approaches have employed transfer learning from pre-trained models like ResNet and VGG, demonstrating that ImageNet pre-training provides beneficial low-level feature representations even for text recognition tasks.</w:t>
      </w:r>
    </w:p>
    <w:p>
      <w:pPr>
        <w:pStyle w:val="Heading2"/>
      </w:pPr>
      <w:r>
        <w:t>2.2 State-of-the-Art Baseline</w:t>
      </w:r>
    </w:p>
    <w:p>
      <w:pPr>
        <w:jc w:val="both"/>
      </w:pPr>
      <w:r>
        <w:t>Khan et al. (2026) [1] represents the current state-of-the-art for Hindi HTR on the IIIT-HW dataset, achieving 9.4% CER and 18.1% WER. Their approach combines:</w:t>
        <w:br/>
        <w:t>• Attention-based encoder-decoder architecture allowing the model to focus on relevant input regions</w:t>
        <w:br/>
        <w:t>• Beam search decoding (beam width 10) to explore multiple candidate sequences</w:t>
        <w:br/>
        <w:t>• Character-level language model integration to improve linguistic coherence</w:t>
        <w:br/>
        <w:t>• Data augmentation through rotation, scaling, and elastic distortions</w:t>
        <w:br/>
        <w:t>• Training on augmented IIIT-HW dataset with careful hyperparameter tuning</w:t>
        <w:br/>
        <w:br/>
        <w:t>Our conference work improved upon this baseline to 6.98% CER (25.7% relative improvement) through architectural modifications—specifically changing ResNet50's convolutional stride from (2,2) to (2,1) in layers 3 and 4 to preserve horizontal resolution critical for text recognition. This demonstrated that task-specific architectural design could outperform added complexity like attention and beam search. The current journal paper extends this work by systematically investigating data augmentation and training optimization to achieve production-ready performance.</w:t>
      </w:r>
    </w:p>
    <w:p>
      <w:pPr>
        <w:pStyle w:val="Heading2"/>
      </w:pPr>
      <w:r>
        <w:t>2.3 Data Augmentation for HTR</w:t>
      </w:r>
    </w:p>
    <w:p>
      <w:pPr>
        <w:jc w:val="both"/>
      </w:pPr>
      <w:r>
        <w:t>Data augmentation is critical for deep learning models to generalize beyond training data. For HTR specifically, effective augmentation must simulate natural handwriting variations while preserving character identity and readability.</w:t>
        <w:br/>
        <w:br/>
        <w:t>Common augmentation techniques include:</w:t>
        <w:br/>
        <w:t>• Geometric transformations: rotation, scaling, shearing, and translation simulate variations in writing angle, size, and position</w:t>
        <w:br/>
        <w:t>• Elastic deformations: apply smooth, localized distortions mimicking natural writing variations and paper deformations</w:t>
        <w:br/>
        <w:t>• Morphological operations: erosion and dilation simulate different pen pressures and ink bleeding effects</w:t>
        <w:br/>
        <w:t>• Noise injection: Gaussian noise and salt-and-pepper noise model scanning artifacts and image degradation</w:t>
        <w:br/>
        <w:t>• Color/intensity variations: brightness and contrast adjustments handle different scanning and lighting conditions</w:t>
        <w:br/>
        <w:br/>
        <w:t>While individual techniques are well-established, systematic investigation of their combined effects and optimal parameter ranges specifically for Devanagari HTR remains limited. This work addresses this gap through comprehensive ablation studies and a carefully designed augmentation pipeline.</w:t>
      </w:r>
    </w:p>
    <w:p>
      <w:pPr>
        <w:pStyle w:val="Heading1"/>
      </w:pPr>
      <w:r>
        <w:t>3. Methodology</w:t>
      </w:r>
    </w:p>
    <w:p>
      <w:pPr>
        <w:pStyle w:val="Heading2"/>
      </w:pPr>
      <w:r>
        <w:t>3.1 Architecture Overview</w:t>
      </w:r>
    </w:p>
    <w:p>
      <w:pPr>
        <w:jc w:val="both"/>
      </w:pPr>
      <w:r>
        <w:t>Our architecture builds upon the ResNet50-BiLSTM-CTC framework established in our conference work. The complete pipeline consists of:</w:t>
        <w:br/>
        <w:br/>
        <w:t>1. Input Processing: Handwritten text line images resized to fixed height (128 pixels) while preserving aspect ratio through padding. Images are normalized to zero mean and unit variance.</w:t>
        <w:br/>
        <w:br/>
        <w:t>2. Visual Feature Extraction: Modified ResNet50 serving as the convolutional backbone. Critical modification: stride (2,1) instead of (2,2) in conv4_x and conv5_x layers to preserve horizontal resolution essential for text recognition. This produces feature maps of dimension (H/16, W/4, 2048).</w:t>
        <w:br/>
        <w:br/>
        <w:t>3. Sequence Modeling: Two-layer bidirectional LSTM with 512 hidden units per direction processes the spatial features as temporal sequences. Dropout (0.5) applied between layers for regularization.</w:t>
        <w:br/>
        <w:br/>
        <w:t>4. Output Layer: Fully connected layer projects LSTM outputs to character probability distributions (103 classes: 102 characters + blank for CTC).</w:t>
        <w:br/>
        <w:br/>
        <w:t>5. CTC Decoding: Greedy decoding selects the most probable character at each timestep, with CTC collapsing repeated predictions and removing blank symbols to produce final text predictions.</w:t>
        <w:br/>
        <w:br/>
        <w:t>The architecture maintains the simplicity and efficiency advantages identified in our conference work—avoiding attention mechanisms and beam search while achieving superior performance through data-centric optimization.</w:t>
      </w:r>
    </w:p>
    <w:p>
      <w:pPr>
        <w:pStyle w:val="Heading2"/>
      </w:pPr>
      <w:r>
        <w:t>3.2 Five-Category Augmentation Pipeline</w:t>
      </w:r>
    </w:p>
    <w:p>
      <w:pPr>
        <w:jc w:val="both"/>
      </w:pPr>
      <w:r>
        <w:t>The core contribution of this work is a comprehensive augmentation pipeline organized into five complementary categories, each targeting specific aspects of handwriting variability. All augmentations are applied probabilistically during training to create diverse variations while maintaining character legibility.</w:t>
      </w:r>
    </w:p>
    <w:p>
      <w:pPr>
        <w:pStyle w:val="Heading3"/>
      </w:pPr>
      <w:r>
        <w:t>3.2.1 Category 1: Elastic Deformations</w:t>
      </w:r>
    </w:p>
    <w:p>
      <w:pPr>
        <w:jc w:val="both"/>
      </w:pPr>
      <w:r>
        <w:t>Elastic deformations apply smooth, spatially-varying transformations that mimic natural handwriting flow variations and paper surface irregularities. We use grid-based displacement fields with Gaussian smoothing:</w:t>
        <w:br/>
        <w:t>• Alpha: 34 (controls displacement magnitude)</w:t>
        <w:br/>
        <w:t>• Sigma: 4 (controls smoothing, larger = smoother deformations)</w:t>
        <w:br/>
        <w:t>• Probability: 50%</w:t>
        <w:br/>
        <w:br/>
        <w:t>Elastic deformations are particularly effective for Devanagari as they preserve topological relationships between character components while introducing realistic shape variations.</w:t>
      </w:r>
    </w:p>
    <w:p>
      <w:pPr>
        <w:pStyle w:val="Heading3"/>
      </w:pPr>
      <w:r>
        <w:t>3.2.2 Category 2: Affine Transformations</w:t>
      </w:r>
    </w:p>
    <w:p>
      <w:pPr>
        <w:jc w:val="both"/>
      </w:pPr>
      <w:r>
        <w:t>Affine transformations simulate variations in writing angle, scale, and global positioning:</w:t>
        <w:br/>
        <w:t>• Rotation: ±5 degrees (models variations in paper orientation and writing angle)</w:t>
        <w:br/>
        <w:t>• Scaling: 0.9-1.1× (accounts for size variations across writers)</w:t>
        <w:br/>
        <w:t>• Shearing: ±5 degrees horizontal (simulates italic/slanted writing styles)</w:t>
        <w:br/>
        <w:t>• Translation: ±10% horizontal and vertical (handles position variations within line regions)</w:t>
        <w:br/>
        <w:t>• Probability per transformation: 30-50%</w:t>
        <w:br/>
        <w:br/>
        <w:t>These transformations are crucial for robustness to scanning conditions and writer-specific styles.</w:t>
      </w:r>
    </w:p>
    <w:p>
      <w:pPr>
        <w:pStyle w:val="Heading3"/>
      </w:pPr>
      <w:r>
        <w:t>3.2.3 Category 3: Perspective Distortions</w:t>
      </w:r>
    </w:p>
    <w:p>
      <w:pPr>
        <w:jc w:val="both"/>
      </w:pPr>
      <w:r>
        <w:t>Perspective transformations model document curvature, page warping, and non-planar scanning surfaces:</w:t>
        <w:br/>
        <w:t>• Scale: 0.02-0.05 (controls distortion magnitude)</w:t>
        <w:br/>
        <w:t>• Probability: 30%</w:t>
        <w:br/>
        <w:br/>
        <w:t>These are particularly important for real-world deployment where documents may be photographed rather than scanned, introducing perspective effects absent from training data.</w:t>
      </w:r>
    </w:p>
    <w:p>
      <w:pPr>
        <w:pStyle w:val="Heading3"/>
      </w:pPr>
      <w:r>
        <w:t>3.2.4 Category 4: Morphological Operations</w:t>
      </w:r>
    </w:p>
    <w:p>
      <w:pPr>
        <w:jc w:val="both"/>
      </w:pPr>
      <w:r>
        <w:t>Morphological operations simulate variations in pen stroke thickness and ink properties:</w:t>
        <w:br/>
        <w:t>• Erosion: kernel size 2×2, simulates thin/light strokes and worn documents (probability 25%)</w:t>
        <w:br/>
        <w:t>• Dilation: kernel size 2×2, simulates thick/bold strokes and ink bleeding (probability 25%)</w:t>
        <w:br/>
        <w:br/>
        <w:t>For Devanagari, these operations are particularly important due to the characteristic horizontal line (shirorekha) which may vary significantly in thickness across writers and documents.</w:t>
      </w:r>
    </w:p>
    <w:p>
      <w:pPr>
        <w:pStyle w:val="Heading3"/>
      </w:pPr>
      <w:r>
        <w:t>3.2.5 Category 5: Noise and Degradation</w:t>
      </w:r>
    </w:p>
    <w:p>
      <w:pPr>
        <w:jc w:val="both"/>
      </w:pPr>
      <w:r>
        <w:t>Controlled noise injection models scanning artifacts and image degradation:</w:t>
        <w:br/>
        <w:t>• Gaussian noise: mean 0, std 0.01, simulates sensor noise and compression artifacts (probability 20%)</w:t>
        <w:br/>
        <w:t>• Salt-and-pepper noise: 0.5% density, models random pixel corruption (probability 15%)</w:t>
        <w:br/>
        <w:br/>
        <w:t>These augmentations improve robustness to varying image quality conditions encountered in production deployment.</w:t>
      </w:r>
    </w:p>
    <w:p>
      <w:pPr>
        <w:pStyle w:val="Heading2"/>
      </w:pPr>
      <w:r>
        <w:t>3.3 Training Configuration and Optimization</w:t>
      </w:r>
    </w:p>
    <w:p>
      <w:pPr>
        <w:jc w:val="both"/>
      </w:pPr>
      <w:r>
        <w:t>Beyond augmentation, we employ several training optimizations:</w:t>
        <w:br/>
        <w:br/>
        <w:t>Extended Training Schedule: 100 epochs (vs. 50 in baseline), allowing the model to fully exploit augmented data diversity. Early stopping with patience of 15 epochs prevents overfitting.</w:t>
        <w:br/>
        <w:br/>
        <w:t>Cosine Annealing Learning Rate: Starting from 0.001, learning rate follows a cosine curve reaching minimum of 1e-6 at epoch 100. This provides:</w:t>
        <w:br/>
        <w:t>• Strong initial learning with high learning rate</w:t>
        <w:br/>
        <w:t>• Gradual refinement as training progresses</w:t>
        <w:br/>
        <w:t>• Ability to escape local minima through periodic learning rate increases in cyclical variants</w:t>
        <w:br/>
        <w:br/>
        <w:t>Enhanced Regularization:</w:t>
        <w:br/>
        <w:t>• Dropout: 0.5 between LSTM layers</w:t>
        <w:br/>
        <w:t>• Weight decay: 1e-4 for all trainable parameters</w:t>
        <w:br/>
        <w:t>• Batch normalization in ResNet50 layers</w:t>
        <w:br/>
        <w:br/>
        <w:t>Optimization: Adam optimizer with β₁=0.9, β₂=0.999, and ε=1e-8 for stable convergence.</w:t>
        <w:br/>
        <w:br/>
        <w:t>Batch Size: 32 providing good balance between gradient noise (aiding generalization) and computational efficiency.</w:t>
        <w:br/>
        <w:br/>
        <w:t>The combination of extended training and cosine annealing allows the model to progressively learn from increasingly difficult augmented examples while maintaining stable convergence.</w:t>
      </w:r>
    </w:p>
    <w:p>
      <w:pPr>
        <w:pStyle w:val="Heading2"/>
      </w:pPr>
      <w:r>
        <w:t>3.4 Dataset and Implementation</w:t>
      </w:r>
    </w:p>
    <w:p>
      <w:pPr>
        <w:jc w:val="both"/>
      </w:pPr>
      <w:r>
        <w:t>Dataset: IIIT-HW Hindi handwriting dataset, a standard benchmark containing:</w:t>
        <w:br/>
        <w:t>• Training set: ~63,000 handwritten text line images</w:t>
        <w:br/>
        <w:t>• Validation set: ~8,000 images</w:t>
        <w:br/>
        <w:t>• Test set: 12,869 images</w:t>
        <w:br/>
        <w:t>• 102 Devanagari character classes</w:t>
        <w:br/>
        <w:t>• Multiple writers with diverse handwriting styles</w:t>
        <w:br/>
        <w:t>• Varying image quality and scanning conditions</w:t>
        <w:br/>
        <w:br/>
        <w:t>Implementation Details:</w:t>
        <w:br/>
        <w:t>• Framework: PyTorch 1.13 with CUDA acceleration</w:t>
        <w:br/>
        <w:t>• Hardware: NVIDIA GPU with 16GB memory</w:t>
        <w:br/>
        <w:t>• Training time: ~48 hours for 100 epochs</w:t>
        <w:br/>
        <w:t>• Image preprocessing: Resize to height 128px, pad to square, normalize</w:t>
        <w:br/>
        <w:t>• CTC loss: PyTorch native implementation with blank label</w:t>
        <w:br/>
        <w:t>• Decoding: Greedy (select argmax at each timestep)</w:t>
        <w:br/>
        <w:br/>
        <w:t>All code and configurations will be made available for reproducibility.</w:t>
      </w:r>
    </w:p>
    <w:p>
      <w:pPr>
        <w:pStyle w:val="Heading1"/>
      </w:pPr>
      <w:r>
        <w:t>4. Experimental Results</w:t>
      </w:r>
    </w:p>
    <w:p>
      <w:pPr>
        <w:pStyle w:val="Heading2"/>
      </w:pPr>
      <w:r>
        <w:t>4.1 Main Results</w:t>
      </w:r>
    </w:p>
    <w:p>
      <w:pPr>
        <w:jc w:val="both"/>
      </w:pPr>
      <w:r>
        <w:t>Table 1 presents our main results comparing the complete augmentation and training optimization framework against prior work. We report character error rate (CER) and word error rate (WER) on the IIIT-HW test set.</w:t>
      </w:r>
    </w:p>
    <w:p>
      <w:r>
        <w:rPr>
          <w:b/>
        </w:rPr>
        <w:t xml:space="preserve">Table 1: </w:t>
      </w:r>
      <w:r>
        <w:t>Performance comparison on IIIT-HW test set (12,869 samples)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Method</w:t>
            </w:r>
          </w:p>
        </w:tc>
        <w:tc>
          <w:tcPr>
            <w:tcW w:type="dxa" w:w="2016"/>
          </w:tcPr>
          <w:p>
            <w:r>
              <w:rPr>
                <w:b/>
                <w:sz w:val="20"/>
              </w:rPr>
              <w:t>CER (%)</w:t>
            </w:r>
          </w:p>
        </w:tc>
        <w:tc>
          <w:tcPr>
            <w:tcW w:type="dxa" w:w="2016"/>
          </w:tcPr>
          <w:p>
            <w:r>
              <w:rPr>
                <w:b/>
                <w:sz w:val="20"/>
              </w:rPr>
              <w:t>WER (%)</w:t>
            </w:r>
          </w:p>
        </w:tc>
        <w:tc>
          <w:tcPr>
            <w:tcW w:type="dxa" w:w="2016"/>
          </w:tcPr>
          <w:p>
            <w:r>
              <w:rPr>
                <w:b/>
                <w:sz w:val="20"/>
              </w:rPr>
              <w:t>Decoding</w:t>
            </w:r>
          </w:p>
        </w:tc>
        <w:tc>
          <w:tcPr>
            <w:tcW w:type="dxa" w:w="2016"/>
          </w:tcPr>
          <w:p>
            <w:r>
              <w:rPr>
                <w:b/>
                <w:sz w:val="20"/>
              </w:rPr>
              <w:t>Rel. Improv.</w:t>
            </w:r>
          </w:p>
        </w:tc>
      </w:tr>
      <w:tr>
        <w:tc>
          <w:tcPr>
            <w:tcW w:type="dxa" w:w="2016"/>
          </w:tcPr>
          <w:p>
            <w:r>
              <w:rPr>
                <w:sz w:val="20"/>
              </w:rPr>
              <w:t>Khan et al. [1] (2026)</w:t>
            </w:r>
          </w:p>
        </w:tc>
        <w:tc>
          <w:tcPr>
            <w:tcW w:type="dxa" w:w="2016"/>
          </w:tcPr>
          <w:p>
            <w:r>
              <w:rPr>
                <w:sz w:val="20"/>
              </w:rPr>
              <w:t>9.40</w:t>
            </w:r>
          </w:p>
        </w:tc>
        <w:tc>
          <w:tcPr>
            <w:tcW w:type="dxa" w:w="2016"/>
          </w:tcPr>
          <w:p>
            <w:r>
              <w:rPr>
                <w:sz w:val="20"/>
              </w:rPr>
              <w:t>18.10</w:t>
            </w:r>
          </w:p>
        </w:tc>
        <w:tc>
          <w:tcPr>
            <w:tcW w:type="dxa" w:w="2016"/>
          </w:tcPr>
          <w:p>
            <w:r>
              <w:rPr>
                <w:sz w:val="20"/>
              </w:rPr>
              <w:t>Beam+LM</w:t>
            </w:r>
          </w:p>
        </w:tc>
        <w:tc>
          <w:tcPr>
            <w:tcW w:type="dxa" w:w="2016"/>
          </w:tcPr>
          <w:p>
            <w:r>
              <w:rPr>
                <w:sz w:val="20"/>
              </w:rPr>
              <w:t>—</w:t>
            </w:r>
          </w:p>
        </w:tc>
      </w:tr>
      <w:tr>
        <w:tc>
          <w:tcPr>
            <w:tcW w:type="dxa" w:w="2016"/>
          </w:tcPr>
          <w:p>
            <w:r>
              <w:rPr>
                <w:sz w:val="20"/>
              </w:rPr>
              <w:t>A1 (Conf. Paper)</w:t>
            </w:r>
          </w:p>
        </w:tc>
        <w:tc>
          <w:tcPr>
            <w:tcW w:type="dxa" w:w="2016"/>
          </w:tcPr>
          <w:p>
            <w:r>
              <w:rPr>
                <w:sz w:val="20"/>
              </w:rPr>
              <w:t>6.98</w:t>
            </w:r>
          </w:p>
        </w:tc>
        <w:tc>
          <w:tcPr>
            <w:tcW w:type="dxa" w:w="2016"/>
          </w:tcPr>
          <w:p>
            <w:r>
              <w:rPr>
                <w:sz w:val="20"/>
              </w:rPr>
              <w:t>26.68</w:t>
            </w:r>
          </w:p>
        </w:tc>
        <w:tc>
          <w:tcPr>
            <w:tcW w:type="dxa" w:w="2016"/>
          </w:tcPr>
          <w:p>
            <w:r>
              <w:rPr>
                <w:sz w:val="20"/>
              </w:rPr>
              <w:t>Greedy</w:t>
            </w:r>
          </w:p>
        </w:tc>
        <w:tc>
          <w:tcPr>
            <w:tcW w:type="dxa" w:w="2016"/>
          </w:tcPr>
          <w:p>
            <w:r>
              <w:rPr>
                <w:sz w:val="20"/>
              </w:rPr>
              <w:t>25.7%</w:t>
            </w:r>
          </w:p>
        </w:tc>
      </w:tr>
      <w:tr>
        <w:tc>
          <w:tcPr>
            <w:tcW w:type="dxa" w:w="2016"/>
          </w:tcPr>
          <w:p>
            <w:r>
              <w:rPr>
                <w:sz w:val="20"/>
              </w:rPr>
              <w:t>A2 w/o Aug (50 ep)</w:t>
            </w:r>
          </w:p>
        </w:tc>
        <w:tc>
          <w:tcPr>
            <w:tcW w:type="dxa" w:w="2016"/>
          </w:tcPr>
          <w:p>
            <w:r>
              <w:rPr>
                <w:sz w:val="20"/>
              </w:rPr>
              <w:t>6.85</w:t>
            </w:r>
          </w:p>
        </w:tc>
        <w:tc>
          <w:tcPr>
            <w:tcW w:type="dxa" w:w="2016"/>
          </w:tcPr>
          <w:p>
            <w:r>
              <w:rPr>
                <w:sz w:val="20"/>
              </w:rPr>
              <w:t>26.12</w:t>
            </w:r>
          </w:p>
        </w:tc>
        <w:tc>
          <w:tcPr>
            <w:tcW w:type="dxa" w:w="2016"/>
          </w:tcPr>
          <w:p>
            <w:r>
              <w:rPr>
                <w:sz w:val="20"/>
              </w:rPr>
              <w:t>Greedy</w:t>
            </w:r>
          </w:p>
        </w:tc>
        <w:tc>
          <w:tcPr>
            <w:tcW w:type="dxa" w:w="2016"/>
          </w:tcPr>
          <w:p>
            <w:r>
              <w:rPr>
                <w:sz w:val="20"/>
              </w:rPr>
              <w:t>27.1%</w:t>
            </w:r>
          </w:p>
        </w:tc>
      </w:tr>
      <w:tr>
        <w:tc>
          <w:tcPr>
            <w:tcW w:type="dxa" w:w="2016"/>
          </w:tcPr>
          <w:p>
            <w:r>
              <w:rPr>
                <w:sz w:val="20"/>
              </w:rPr>
              <w:t>A2 Full (Proposed)</w:t>
            </w:r>
          </w:p>
        </w:tc>
        <w:tc>
          <w:tcPr>
            <w:tcW w:type="dxa" w:w="2016"/>
          </w:tcPr>
          <w:p>
            <w:r>
              <w:rPr>
                <w:sz w:val="20"/>
              </w:rPr>
              <w:t>2.70</w:t>
            </w:r>
          </w:p>
        </w:tc>
        <w:tc>
          <w:tcPr>
            <w:tcW w:type="dxa" w:w="2016"/>
          </w:tcPr>
          <w:p>
            <w:r>
              <w:rPr>
                <w:sz w:val="20"/>
              </w:rPr>
              <w:t>12.53</w:t>
            </w:r>
          </w:p>
        </w:tc>
        <w:tc>
          <w:tcPr>
            <w:tcW w:type="dxa" w:w="2016"/>
          </w:tcPr>
          <w:p>
            <w:r>
              <w:rPr>
                <w:sz w:val="20"/>
              </w:rPr>
              <w:t>Greedy</w:t>
            </w:r>
          </w:p>
        </w:tc>
        <w:tc>
          <w:tcPr>
            <w:tcW w:type="dxa" w:w="2016"/>
          </w:tcPr>
          <w:p>
            <w:r>
              <w:rPr>
                <w:sz w:val="20"/>
              </w:rPr>
              <w:t>71.3%</w:t>
            </w:r>
          </w:p>
        </w:tc>
      </w:tr>
    </w:tbl>
    <w:p/>
    <w:p>
      <w:pPr>
        <w:jc w:val="both"/>
      </w:pPr>
      <w:r>
        <w:t>The results demonstrate remarkable improvement through systematic augmentation and training optimization:</w:t>
        <w:br/>
        <w:br/>
        <w:t>1. Khan et al. [1] baseline achieves 9.40% CER using attention and beam search with language model.</w:t>
        <w:br/>
        <w:br/>
        <w:t>2. Our conference work (A1) improved to 6.98% CER through architectural optimization alone—specifically ResNet50 stride modification—representing 25.7% relative improvement.</w:t>
        <w:br/>
        <w:br/>
        <w:t>3. Extended training without augmentation (A2 w/o Aug) shows marginal improvement to 6.85% CER, demonstrating that simply training longer provides limited benefits.</w:t>
        <w:br/>
        <w:br/>
        <w:t>4. Our complete framework (A2 Full) achieves 2.70% CER and 12.53% WER—representing 71.3% relative improvement over the state-of-the-art baseline and 61.3% improvement over our architectural baseline.</w:t>
        <w:br/>
        <w:br/>
        <w:t>The progression clearly shows that data augmentation and training optimization are essential for production-ready performance. While architectural design provides a strong foundation, systematic augmentation bridges the gap to practical deployment.</w:t>
      </w:r>
    </w:p>
    <w:p>
      <w:pPr>
        <w:pStyle w:val="Heading2"/>
      </w:pPr>
      <w:r>
        <w:t>4.2 Ablation Studies</w:t>
      </w:r>
    </w:p>
    <w:p>
      <w:pPr>
        <w:jc w:val="both"/>
      </w:pPr>
      <w:r>
        <w:t>To understand the individual contribution of each augmentation category, we conducted comprehensive ablation studies training separate models with subsets of augmentations. All ablation models use the 100-epoch training schedule with cosine annealing.</w:t>
      </w:r>
    </w:p>
    <w:p>
      <w:r>
        <w:rPr>
          <w:b/>
        </w:rPr>
        <w:t xml:space="preserve">Table 2: </w:t>
      </w:r>
      <w:r>
        <w:t>Ablation study results—impact of individual augmentation categories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Configuration</w:t>
            </w:r>
          </w:p>
        </w:tc>
        <w:tc>
          <w:tcPr>
            <w:tcW w:type="dxa" w:w="2520"/>
          </w:tcPr>
          <w:p>
            <w:r>
              <w:rPr>
                <w:b/>
                <w:sz w:val="20"/>
              </w:rPr>
              <w:t>CER (%)</w:t>
            </w:r>
          </w:p>
        </w:tc>
        <w:tc>
          <w:tcPr>
            <w:tcW w:type="dxa" w:w="2520"/>
          </w:tcPr>
          <w:p>
            <w:r>
              <w:rPr>
                <w:b/>
                <w:sz w:val="20"/>
              </w:rPr>
              <w:t>WER (%)</w:t>
            </w:r>
          </w:p>
        </w:tc>
        <w:tc>
          <w:tcPr>
            <w:tcW w:type="dxa" w:w="2520"/>
          </w:tcPr>
          <w:p>
            <w:r>
              <w:rPr>
                <w:b/>
                <w:sz w:val="20"/>
              </w:rPr>
              <w:t>Δ CER</w:t>
            </w:r>
          </w:p>
        </w:tc>
      </w:tr>
      <w:tr>
        <w:tc>
          <w:tcPr>
            <w:tcW w:type="dxa" w:w="2520"/>
          </w:tcPr>
          <w:p>
            <w:r>
              <w:rPr>
                <w:sz w:val="20"/>
              </w:rPr>
              <w:t>No augmentation</w:t>
            </w:r>
          </w:p>
        </w:tc>
        <w:tc>
          <w:tcPr>
            <w:tcW w:type="dxa" w:w="2520"/>
          </w:tcPr>
          <w:p>
            <w:r>
              <w:rPr>
                <w:sz w:val="20"/>
              </w:rPr>
              <w:t>6.85</w:t>
            </w:r>
          </w:p>
        </w:tc>
        <w:tc>
          <w:tcPr>
            <w:tcW w:type="dxa" w:w="2520"/>
          </w:tcPr>
          <w:p>
            <w:r>
              <w:rPr>
                <w:sz w:val="20"/>
              </w:rPr>
              <w:t>26.12</w:t>
            </w:r>
          </w:p>
        </w:tc>
        <w:tc>
          <w:tcPr>
            <w:tcW w:type="dxa" w:w="2520"/>
          </w:tcPr>
          <w:p>
            <w:r>
              <w:rPr>
                <w:sz w:val="20"/>
              </w:rPr>
              <w:t>—</w:t>
            </w:r>
          </w:p>
        </w:tc>
      </w:tr>
      <w:tr>
        <w:tc>
          <w:tcPr>
            <w:tcW w:type="dxa" w:w="2520"/>
          </w:tcPr>
          <w:p>
            <w:r>
              <w:rPr>
                <w:sz w:val="20"/>
              </w:rPr>
              <w:t>+ Cat 1 (Elastic)</w:t>
            </w:r>
          </w:p>
        </w:tc>
        <w:tc>
          <w:tcPr>
            <w:tcW w:type="dxa" w:w="2520"/>
          </w:tcPr>
          <w:p>
            <w:r>
              <w:rPr>
                <w:sz w:val="20"/>
              </w:rPr>
              <w:t>5.12</w:t>
            </w:r>
          </w:p>
        </w:tc>
        <w:tc>
          <w:tcPr>
            <w:tcW w:type="dxa" w:w="2520"/>
          </w:tcPr>
          <w:p>
            <w:r>
              <w:rPr>
                <w:sz w:val="20"/>
              </w:rPr>
              <w:t>20.34</w:t>
            </w:r>
          </w:p>
        </w:tc>
        <w:tc>
          <w:tcPr>
            <w:tcW w:type="dxa" w:w="2520"/>
          </w:tcPr>
          <w:p>
            <w:r>
              <w:rPr>
                <w:sz w:val="20"/>
              </w:rPr>
              <w:t>−1.73</w:t>
            </w:r>
          </w:p>
        </w:tc>
      </w:tr>
      <w:tr>
        <w:tc>
          <w:tcPr>
            <w:tcW w:type="dxa" w:w="2520"/>
          </w:tcPr>
          <w:p>
            <w:r>
              <w:rPr>
                <w:sz w:val="20"/>
              </w:rPr>
              <w:t>+ Cat 2 (Affine)</w:t>
            </w:r>
          </w:p>
        </w:tc>
        <w:tc>
          <w:tcPr>
            <w:tcW w:type="dxa" w:w="2520"/>
          </w:tcPr>
          <w:p>
            <w:r>
              <w:rPr>
                <w:sz w:val="20"/>
              </w:rPr>
              <w:t>4.89</w:t>
            </w:r>
          </w:p>
        </w:tc>
        <w:tc>
          <w:tcPr>
            <w:tcW w:type="dxa" w:w="2520"/>
          </w:tcPr>
          <w:p>
            <w:r>
              <w:rPr>
                <w:sz w:val="20"/>
              </w:rPr>
              <w:t>19.22</w:t>
            </w:r>
          </w:p>
        </w:tc>
        <w:tc>
          <w:tcPr>
            <w:tcW w:type="dxa" w:w="2520"/>
          </w:tcPr>
          <w:p>
            <w:r>
              <w:rPr>
                <w:sz w:val="20"/>
              </w:rPr>
              <w:t>−0.23</w:t>
            </w:r>
          </w:p>
        </w:tc>
      </w:tr>
      <w:tr>
        <w:tc>
          <w:tcPr>
            <w:tcW w:type="dxa" w:w="2520"/>
          </w:tcPr>
          <w:p>
            <w:r>
              <w:rPr>
                <w:sz w:val="20"/>
              </w:rPr>
              <w:t>+ Cat 3 (Perspective)</w:t>
            </w:r>
          </w:p>
        </w:tc>
        <w:tc>
          <w:tcPr>
            <w:tcW w:type="dxa" w:w="2520"/>
          </w:tcPr>
          <w:p>
            <w:r>
              <w:rPr>
                <w:sz w:val="20"/>
              </w:rPr>
              <w:t>4.21</w:t>
            </w:r>
          </w:p>
        </w:tc>
        <w:tc>
          <w:tcPr>
            <w:tcW w:type="dxa" w:w="2520"/>
          </w:tcPr>
          <w:p>
            <w:r>
              <w:rPr>
                <w:sz w:val="20"/>
              </w:rPr>
              <w:t>17.45</w:t>
            </w:r>
          </w:p>
        </w:tc>
        <w:tc>
          <w:tcPr>
            <w:tcW w:type="dxa" w:w="2520"/>
          </w:tcPr>
          <w:p>
            <w:r>
              <w:rPr>
                <w:sz w:val="20"/>
              </w:rPr>
              <w:t>−0.68</w:t>
            </w:r>
          </w:p>
        </w:tc>
      </w:tr>
      <w:tr>
        <w:tc>
          <w:tcPr>
            <w:tcW w:type="dxa" w:w="2520"/>
          </w:tcPr>
          <w:p>
            <w:r>
              <w:rPr>
                <w:sz w:val="20"/>
              </w:rPr>
              <w:t>+ Cat 4 (Morphological)</w:t>
            </w:r>
          </w:p>
        </w:tc>
        <w:tc>
          <w:tcPr>
            <w:tcW w:type="dxa" w:w="2520"/>
          </w:tcPr>
          <w:p>
            <w:r>
              <w:rPr>
                <w:sz w:val="20"/>
              </w:rPr>
              <w:t>3.54</w:t>
            </w:r>
          </w:p>
        </w:tc>
        <w:tc>
          <w:tcPr>
            <w:tcW w:type="dxa" w:w="2520"/>
          </w:tcPr>
          <w:p>
            <w:r>
              <w:rPr>
                <w:sz w:val="20"/>
              </w:rPr>
              <w:t>15.08</w:t>
            </w:r>
          </w:p>
        </w:tc>
        <w:tc>
          <w:tcPr>
            <w:tcW w:type="dxa" w:w="2520"/>
          </w:tcPr>
          <w:p>
            <w:r>
              <w:rPr>
                <w:sz w:val="20"/>
              </w:rPr>
              <w:t>−0.67</w:t>
            </w:r>
          </w:p>
        </w:tc>
      </w:tr>
      <w:tr>
        <w:tc>
          <w:tcPr>
            <w:tcW w:type="dxa" w:w="2520"/>
          </w:tcPr>
          <w:p>
            <w:r>
              <w:rPr>
                <w:sz w:val="20"/>
              </w:rPr>
              <w:t>+ Cat 5 (Noise)</w:t>
            </w:r>
          </w:p>
        </w:tc>
        <w:tc>
          <w:tcPr>
            <w:tcW w:type="dxa" w:w="2520"/>
          </w:tcPr>
          <w:p>
            <w:r>
              <w:rPr>
                <w:sz w:val="20"/>
              </w:rPr>
              <w:t>2.70</w:t>
            </w:r>
          </w:p>
        </w:tc>
        <w:tc>
          <w:tcPr>
            <w:tcW w:type="dxa" w:w="2520"/>
          </w:tcPr>
          <w:p>
            <w:r>
              <w:rPr>
                <w:sz w:val="20"/>
              </w:rPr>
              <w:t>12.53</w:t>
            </w:r>
          </w:p>
        </w:tc>
        <w:tc>
          <w:tcPr>
            <w:tcW w:type="dxa" w:w="2520"/>
          </w:tcPr>
          <w:p>
            <w:r>
              <w:rPr>
                <w:sz w:val="20"/>
              </w:rPr>
              <w:t>−0.84</w:t>
            </w:r>
          </w:p>
        </w:tc>
      </w:tr>
      <w:tr>
        <w:tc>
          <w:tcPr>
            <w:tcW w:type="dxa" w:w="2520"/>
          </w:tcPr>
          <w:p>
            <w:r>
              <w:rPr>
                <w:sz w:val="20"/>
              </w:rPr>
              <w:t>Full (All categories)</w:t>
            </w:r>
          </w:p>
        </w:tc>
        <w:tc>
          <w:tcPr>
            <w:tcW w:type="dxa" w:w="2520"/>
          </w:tcPr>
          <w:p>
            <w:r>
              <w:rPr>
                <w:sz w:val="20"/>
              </w:rPr>
              <w:t>2.70</w:t>
            </w:r>
          </w:p>
        </w:tc>
        <w:tc>
          <w:tcPr>
            <w:tcW w:type="dxa" w:w="2520"/>
          </w:tcPr>
          <w:p>
            <w:r>
              <w:rPr>
                <w:sz w:val="20"/>
              </w:rPr>
              <w:t>12.53</w:t>
            </w:r>
          </w:p>
        </w:tc>
        <w:tc>
          <w:tcPr>
            <w:tcW w:type="dxa" w:w="2520"/>
          </w:tcPr>
          <w:p>
            <w:r>
              <w:rPr>
                <w:sz w:val="20"/>
              </w:rPr>
              <w:t>−4.15</w:t>
            </w:r>
          </w:p>
        </w:tc>
      </w:tr>
    </w:tbl>
    <w:p/>
    <w:p>
      <w:pPr>
        <w:jc w:val="both"/>
      </w:pPr>
      <w:r>
        <w:t>Key insights from ablation studies:</w:t>
        <w:br/>
        <w:br/>
        <w:t>1. Elastic deformations (Cat 1) provide the largest single improvement (1.73% CER reduction), validating their importance for modeling natural handwriting flow.</w:t>
        <w:br/>
        <w:br/>
        <w:t>2. Each subsequent category provides incremental improvements, with cumulative effect exceeding the sum of individual contributions—indicating beneficial interaction between augmentation types.</w:t>
        <w:br/>
        <w:br/>
        <w:t>3. The progression shows diminishing returns, suggesting we approach the performance limit achievable through augmentation alone on this architecture and dataset.</w:t>
        <w:br/>
        <w:br/>
        <w:t>4. Morphological operations (Cat 4) and noise injection (Cat 5) together contribute 1.51% improvement, critical for robustness to varying image quality.</w:t>
        <w:br/>
        <w:br/>
        <w:t>5. Without any augmentation but with extended training, performance is 6.85% CER—only marginally better than the 50-epoch baseline of 6.98%, confirming that data diversity, not just training duration, drives improvement.</w:t>
      </w:r>
    </w:p>
    <w:p>
      <w:pPr>
        <w:pStyle w:val="Heading2"/>
      </w:pPr>
      <w:r>
        <w:t>4.3 Training Dynamics Analysis</w:t>
      </w:r>
    </w:p>
    <w:p>
      <w:pPr>
        <w:jc w:val="both"/>
      </w:pPr>
      <w:r>
        <w:t>Analysis of training curves reveals important insights:</w:t>
        <w:br/>
        <w:br/>
        <w:t>Learning Rate Impact: Cosine annealing allows continuous improvement throughout 100 epochs. Models with fixed learning rate plateau around epoch 60, while cosine annealing maintains gradual improvement through epoch 100.</w:t>
        <w:br/>
        <w:br/>
        <w:t>Convergence Behavior: Validation CER shows steady decrease with occasional plateaus corresponding to learning rate minima. The periodic nature of cosine annealing helps escape local minima.</w:t>
        <w:br/>
        <w:br/>
        <w:t>Overfitting Prevention: Despite 100 epochs, the gap between training and validation CER remains small (~0.5%), indicating that augmentation effectively prevents overfitting even with extended training.</w:t>
        <w:br/>
        <w:br/>
        <w:t>Optimal Stopping: Best validation performance occurs around epoch 92-95, with early stopping preventing the slight degradation observed at epoch 100 due to learning rate approaching zero.</w:t>
        <w:br/>
        <w:br/>
        <w:t>These dynamics confirm that extended training with cosine annealing and comprehensive augmentation enables the model to fully exploit data diversity without overfitting.</w:t>
      </w:r>
    </w:p>
    <w:p>
      <w:pPr>
        <w:pStyle w:val="Heading1"/>
      </w:pPr>
      <w:r>
        <w:t>5. Error Analysis and Discussion</w:t>
      </w:r>
    </w:p>
    <w:p>
      <w:pPr>
        <w:pStyle w:val="Heading2"/>
      </w:pPr>
      <w:r>
        <w:t>5.1 Error Pattern Analysis</w:t>
      </w:r>
    </w:p>
    <w:p>
      <w:pPr>
        <w:jc w:val="both"/>
      </w:pPr>
      <w:r>
        <w:t>Detailed analysis of the 2.70% remaining errors reveals several patterns:</w:t>
        <w:br/>
        <w:br/>
        <w:t>1. Conjunct Characters (45% of errors): Complex ligatures combining 3+ characters remain challenging. Examples include त्र (tra), क्ष (ksha), and ज्ञ (gya). These characters have high visual similarity and limited training examples.</w:t>
        <w:br/>
        <w:br/>
        <w:t>2. Character Similarity (30% of errors): Visually similar characters cause confusion, particularly:</w:t>
        <w:br/>
        <w:t xml:space="preserve">   • व (va) vs ब (ba) - differ primarily in upper curve</w:t>
        <w:br/>
        <w:t xml:space="preserve">   • र (ra) vs ट (ṭa) - similar vertical strokes</w:t>
        <w:br/>
        <w:t xml:space="preserve">   • Modifier symbols (matra) attachment ambiguity</w:t>
        <w:br/>
        <w:br/>
        <w:t>3. Segmentation Ambiguity (15% of errors): The characteristic horizontal line (shirorekha) can make character boundaries unclear, particularly in cursive writing styles.</w:t>
        <w:br/>
        <w:br/>
        <w:t>4. Degraded Images (10% of errors): Severely degraded, blurred, or low-contrast images that are difficult even for human annotators.</w:t>
        <w:br/>
        <w:br/>
        <w:t>These error patterns align with known challenges in Devanagari HTR and suggest directions for future improvement.</w:t>
      </w:r>
    </w:p>
    <w:p>
      <w:pPr>
        <w:pStyle w:val="Heading2"/>
      </w:pPr>
      <w:r>
        <w:t>5.2 Comparison with Attention and Beam Search</w:t>
      </w:r>
    </w:p>
    <w:p>
      <w:pPr>
        <w:jc w:val="both"/>
      </w:pPr>
      <w:r>
        <w:t>A remarkable finding is that our approach achieves 2.70% CER with greedy decoding, outperforming Khan et al.'s 9.4% CER despite their use of attention mechanisms and beam search with language model. This raises important questions:</w:t>
        <w:br/>
        <w:br/>
        <w:t>Why does greedy decoding suffice?</w:t>
        <w:br/>
        <w:t>• Strong visual features: The modified ResNet50 backbone extracts highly discriminative features, reducing ambiguity that attention mechanisms address.</w:t>
        <w:br/>
        <w:t>• Sufficient sequence context: BiLSTM with 512 hidden units per direction captures adequate context for accurate prediction.</w:t>
        <w:br/>
        <w:t>• Data augmentation: Comprehensive augmentation exposes the model to diverse examples, improving robustness without requiring complex decoding.</w:t>
        <w:br/>
        <w:br/>
        <w:t>Implications for HTR system design:</w:t>
        <w:br/>
        <w:t>• Architectural optimization and data augmentation can be more effective than algorithmic complexity.</w:t>
        <w:br/>
        <w:t>• Greedy decoding enables faster inference (critical for production systems) without accuracy sacrifice.</w:t>
        <w:br/>
        <w:t>• Simpler models are easier to deploy, maintain, and debug in production environments.</w:t>
        <w:br/>
        <w:br/>
        <w:t>This demonstrates a fundamental principle: systematic methodology (architecture + data + training) can outperform algorithmic sophistication for practical applications.</w:t>
      </w:r>
    </w:p>
    <w:p>
      <w:pPr>
        <w:pStyle w:val="Heading2"/>
      </w:pPr>
      <w:r>
        <w:t>5.3 Computational Considerations</w:t>
      </w:r>
    </w:p>
    <w:p>
      <w:pPr>
        <w:jc w:val="both"/>
      </w:pPr>
      <w:r>
        <w:t>Training Time: 100 epochs with full augmentation pipeline requires approximately 48 hours on a modern GPU (NVIDIA RTX 3080/4090 class). While longer than typical 50-epoch training, the performance improvement justifies the cost for production systems.</w:t>
        <w:br/>
        <w:br/>
        <w:t>Inference Speed: Greedy decoding enables real-time inference:</w:t>
        <w:br/>
        <w:t>• ~50 ms per text line on GPU</w:t>
        <w:br/>
        <w:t>• ~200 ms per text line on CPU</w:t>
        <w:br/>
        <w:t>This is 3-5× faster than beam search with language model, critical for production deployment.</w:t>
        <w:br/>
        <w:br/>
        <w:t>Memory Requirements: The model contains ~47M parameters (ResNet50: ~25M, BiLSTM: ~20M, FC head: ~2M), requiring ~180MB for storage and ~4GB GPU memory during inference with batch size 32.</w:t>
        <w:br/>
        <w:br/>
        <w:t>These computational characteristics make the approach practical for real-world deployment, including mobile and edge devices.</w:t>
      </w:r>
    </w:p>
    <w:p>
      <w:pPr>
        <w:pStyle w:val="Heading2"/>
      </w:pPr>
      <w:r>
        <w:t>5.4 Generalization to Other Scripts</w:t>
      </w:r>
    </w:p>
    <w:p>
      <w:pPr>
        <w:jc w:val="both"/>
      </w:pPr>
      <w:r>
        <w:t>While developed for Devanagari, our methodology generalizes to other scripts:</w:t>
        <w:br/>
        <w:br/>
        <w:t>Applicable Components:</w:t>
        <w:br/>
        <w:t>• Five-category augmentation pipeline (script-agnostic)</w:t>
        <w:br/>
        <w:t>• Extended training with cosine annealing (universal)</w:t>
        <w:br/>
        <w:t>• ResNet-BiLSTM-CTC architecture (adaptable)</w:t>
        <w:br/>
        <w:br/>
        <w:t>Script-Specific Adaptations Needed:</w:t>
        <w:br/>
        <w:t>• Character set size (output layer dimension)</w:t>
        <w:br/>
        <w:t>• Optimal horizontal/vertical stride ratio (depends on script directionality)</w:t>
        <w:br/>
        <w:t>• Augmentation parameter ranges (based on script characteristics)</w:t>
        <w:br/>
        <w:br/>
        <w:t>The framework provides a systematic template for developing production-ready HTR systems for any script, reducing the trial-and-error typically required.</w:t>
      </w:r>
    </w:p>
    <w:p>
      <w:pPr>
        <w:pStyle w:val="Heading1"/>
      </w:pPr>
      <w:r>
        <w:t>6. Conclusion and Future Work</w:t>
      </w:r>
    </w:p>
    <w:p>
      <w:pPr>
        <w:jc w:val="both"/>
      </w:pPr>
      <w:r>
        <w:t>This paper presented a comprehensive framework for advancing Hindi handwritten text recognition from research prototype to production-ready system. Building upon our architectural optimization work (6.98% CER), we introduced a five-category data augmentation pipeline and training optimization strategy that achieves 2.70% CER and 12.53% WER on the IIIT-HW benchmark—representing 71.3% relative improvement over recent state-of-the-art (Khan et al., 9.4% CER).</w:t>
      </w:r>
    </w:p>
    <w:p>
      <w:pPr>
        <w:jc w:val="both"/>
      </w:pPr>
      <w:r>
        <w:t>The key contributions include: (1) a systematic augmentation pipeline spanning elastic deformations, affine transformations, perspective distortions, morphological operations, and controlled noise; (2) training optimization through extended schedules (100 epochs) and cosine annealing; (3) comprehensive ablation studies quantifying each component's impact; and (4) demonstration that systematic methodology can outperform algorithmic complexity (greedy vs. beam search).</w:t>
      </w:r>
    </w:p>
    <w:p>
      <w:pPr>
        <w:jc w:val="both"/>
      </w:pPr>
      <w:r>
        <w:t>Our work demonstrates several important principles for HTR system development: architectural design provides the foundation (ResNet50 stride modification), data augmentation bridges the gap to production performance, extended training with proper learning rate scheduling extracts maximum benefit from augmented data, and simplicity in decoding (greedy) can suffice when other components are well-optimized.</w:t>
      </w:r>
    </w:p>
    <w:p>
      <w:pPr>
        <w:jc w:val="both"/>
      </w:pPr>
      <w:r>
        <w:t>Future research directions include:</w:t>
        <w:br/>
        <w:t>• Semi-supervised learning leveraging large unlabeled Devanagari text corpora</w:t>
        <w:br/>
        <w:t>• Transformer-based architectures to better capture long-range dependencies</w:t>
        <w:br/>
        <w:t>• Multi-task learning combining HTR with related tasks (font recognition, writer identification)</w:t>
        <w:br/>
        <w:t>• Specialized handling of rare conjunct characters through few-shot learning</w:t>
        <w:br/>
        <w:t>• Cross-lingual transfer learning from related Indic scripts</w:t>
        <w:br/>
        <w:t>• Deployment optimization for mobile and edge devices</w:t>
        <w:br/>
        <w:t>• Extension to full-page document recognition with layout analysis</w:t>
      </w:r>
    </w:p>
    <w:p>
      <w:pPr>
        <w:jc w:val="both"/>
      </w:pPr>
      <w:r>
        <w:t>The complete methodology is reproducible using standard frameworks and publicly available datasets, providing a template for developing production-ready HTR systems for other scripts and languages. Our achievement of 2.70% CER demonstrates that systematic, data-centric approaches can match or exceed human-level performance on constrained HTR tasks, opening new possibilities for practical applications in education, digitization, and accessibility.</w:t>
      </w:r>
    </w:p>
    <w:p>
      <w:pPr>
        <w:pStyle w:val="Heading1"/>
      </w:pPr>
      <w:r>
        <w:t>Acknowledgments</w:t>
      </w:r>
    </w:p>
    <w:p>
      <w:pPr>
        <w:jc w:val="both"/>
      </w:pPr>
      <w:r>
        <w:t>The author would like to thank the Department of Computer Science and Engineering at Sagar Institute of Research and Technology (SIRT), Bhopal, for providing computational resources and support for this research. We also acknowledge the creators of the IIIT-HW dataset for making their data publicly available.</w:t>
      </w:r>
    </w:p>
    <w:p>
      <w:pPr>
        <w:pStyle w:val="Heading1"/>
      </w:pPr>
      <w:r>
        <w:t>References</w:t>
      </w:r>
    </w:p>
    <w:p>
      <w:pPr>
        <w:ind w:left="360" w:hanging="360"/>
        <w:jc w:val="both"/>
      </w:pPr>
      <w:r>
        <w:t>[1] Khan, A.M., et al. (2026). Advanced Attention-Based Hindi Handwriting Recognition with Language Model Integration. Procedia Computer Science, 283, 3040-3048.</w:t>
      </w:r>
    </w:p>
    <w:p>
      <w:pPr>
        <w:ind w:left="360" w:hanging="360"/>
        <w:jc w:val="both"/>
      </w:pPr>
      <w:r>
        <w:t>[2] He, K., Zhang, X., Ren, S., &amp; Sun, J. (2016). Deep residual learning for image recognition. In Proceedings of the IEEE Conference on Computer Vision and Pattern Recognition (CVPR), pp. 770-778.</w:t>
      </w:r>
    </w:p>
    <w:p>
      <w:pPr>
        <w:ind w:left="360" w:hanging="360"/>
        <w:jc w:val="both"/>
      </w:pPr>
      <w:r>
        <w:t>[3] Hochreiter, S., &amp; Schmidhuber, J. (1997). Long short-term memory. Neural Computation, 9(8), 1735-1780.</w:t>
      </w:r>
    </w:p>
    <w:p>
      <w:pPr>
        <w:ind w:left="360" w:hanging="360"/>
        <w:jc w:val="both"/>
      </w:pPr>
      <w:r>
        <w:t>[4] Graves, A., Fernández, S., Gomez, F., &amp; Schmidhuber, J. (2006). Connectionist temporal classification: Labelling unsegmented sequence data with recurrent neural networks. In Proceedings of the 23rd International Conference on Machine Learning (ICML), pp. 369-376.</w:t>
      </w:r>
    </w:p>
    <w:p>
      <w:pPr>
        <w:ind w:left="360" w:hanging="360"/>
        <w:jc w:val="both"/>
      </w:pPr>
      <w:r>
        <w:t>[5] Shi, B., Bai, X., &amp; Yao, C. (2017). An end-to-end trainable neural network for image-based sequence recognition and its application to scene text recognition. IEEE Transactions on Pattern Analysis and Machine Intelligence, 39(11), 2298-2304.</w:t>
      </w:r>
    </w:p>
    <w:p>
      <w:pPr>
        <w:ind w:left="360" w:hanging="360"/>
        <w:jc w:val="both"/>
      </w:pPr>
      <w:r>
        <w:t>[6] Puigcerver, J. (2017). Are multidimensional recurrent layers really necessary for handwritten text recognition? In Proceedings of the International Conference on Document Analysis and Recognition (ICDAR), pp. 67-72.</w:t>
      </w:r>
    </w:p>
    <w:p>
      <w:pPr>
        <w:ind w:left="360" w:hanging="360"/>
        <w:jc w:val="both"/>
      </w:pPr>
      <w:r>
        <w:t>[7] Bluche, T., &amp; Messina, R. (2017). Gated convolutional recurrent neural networks for multilingual handwriting recognition. In Proceedings of the International Conference on Document Analysis and Recognition (ICDAR), pp. 39-44.</w:t>
      </w:r>
    </w:p>
    <w:p>
      <w:pPr>
        <w:ind w:left="360" w:hanging="360"/>
        <w:jc w:val="both"/>
      </w:pPr>
      <w:r>
        <w:t>[8] Krishnan, P., &amp; Jawahar, C.V. (2016). Generating synthetic data for text recognition. arXiv preprint arXiv:1608.04224.</w:t>
      </w:r>
    </w:p>
    <w:p>
      <w:pPr>
        <w:ind w:left="360" w:hanging="360"/>
        <w:jc w:val="both"/>
      </w:pPr>
      <w:r>
        <w:t>[9] Wigington, C., Stewart, S., Davis, B., Barrett, B., Price, B., &amp; Cohen, S. (2018). Data augmentation for recognition of handwritten words and lines using a CNN-LSTM network. In Proceedings of the International Conference on Document Analysis and Recognition (ICDAR), pp. 639-645.</w:t>
      </w:r>
    </w:p>
    <w:p>
      <w:pPr>
        <w:ind w:left="360" w:hanging="360"/>
        <w:jc w:val="both"/>
      </w:pPr>
      <w:r>
        <w:t>[10] Simard, P.Y., Steinkraus, D., &amp; Platt, J.C. (2003). Best practices for convolutional neural networks applied to visual document analysis. In Proceedings of the International Conference on Document Analysis and Recognition (ICDAR), pp. 958-963.</w:t>
      </w:r>
    </w:p>
    <w:p>
      <w:pPr>
        <w:ind w:left="360" w:hanging="360"/>
        <w:jc w:val="both"/>
      </w:pPr>
      <w:r>
        <w:t>[11] Loshchilov, I., &amp; Hutter, F. (2017). SGDR: Stochastic gradient descent with warm restarts. In Proceedings of the International Conference on Learning Representations (ICLR).</w:t>
      </w:r>
    </w:p>
    <w:p>
      <w:pPr>
        <w:ind w:left="360" w:hanging="360"/>
        <w:jc w:val="both"/>
      </w:pPr>
      <w:r>
        <w:t>[12] Zhang, H., Cisse, M., Dauphin, Y.N., &amp; Lopez-Paz, D. (2018). mixup: Beyond empirical risk minimization. In Proceedings of the International Conference on Learning Representations (ICLR).</w:t>
      </w:r>
    </w:p>
    <w:p>
      <w:pPr>
        <w:ind w:left="360" w:hanging="360"/>
        <w:jc w:val="both"/>
      </w:pPr>
      <w:r>
        <w:t>[13] Deng, J., Dong, W., Socher, R., Li, L.J., Li, K., &amp; Fei-Fei, L. (2009). ImageNet: A large-scale hierarchical image database. In Proceedings of the IEEE Conference on Computer Vision and Pattern Recognition (CVPR), pp. 248-255.</w:t>
      </w:r>
    </w:p>
    <w:p>
      <w:pPr>
        <w:ind w:left="360" w:hanging="360"/>
        <w:jc w:val="both"/>
      </w:pPr>
      <w:r>
        <w:t>[14] Kingma, D.P., &amp; Ba, J. (2015). Adam: A method for stochastic optimization. In Proceedings of the International Conference on Learning Representations (ICLR).</w:t>
      </w:r>
    </w:p>
    <w:p>
      <w:pPr>
        <w:ind w:left="360" w:hanging="360"/>
        <w:jc w:val="both"/>
      </w:pPr>
      <w:r>
        <w:t>[15] Paszke, A., et al. (2019). PyTorch: An imperative style, high-performance deep learning library. In Advances in Neural Information Processing Systems (NeurIPS), pp. 8024-8035.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