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svfb27qhdo5" w:id="0"/>
      <w:bookmarkEnd w:id="0"/>
      <w:r w:rsidDel="00000000" w:rsidR="00000000" w:rsidRPr="00000000">
        <w:rPr>
          <w:rtl w:val="0"/>
        </w:rPr>
        <w:t xml:space="preserve">Cold Start — Solution Selection Framework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Applies the Solution Selection Framework v1.1 to the Cold Start decision. Built end-to-end through Stages 1–10. Integrates analytical inputs from prior work (Cold Start Lock evaluation, industry research, Uber 2021 deep-dive) so the framework runs on real content, not a theoretical exercise. Closes with a Decision Record per the framework's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This document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selection layer</w:t>
      </w:r>
      <w:r w:rsidDel="00000000" w:rsidR="00000000" w:rsidRPr="00000000">
        <w:rPr>
          <w:i w:val="1"/>
          <w:iCs w:val="1"/>
          <w:rtl w:val="0"/>
        </w:rPr>
        <w:t xml:space="preserve"> that bridges the governance lock (Stages 1–5) to the operational decision (Stages 7–8). It does not relitigate the Lock; it harvests from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1tscu0mfh9jw" w:id="1"/>
      <w:bookmarkEnd w:id="1"/>
      <w:r w:rsidDel="00000000" w:rsidR="00000000" w:rsidRPr="00000000">
        <w:rPr>
          <w:rtl w:val="0"/>
        </w:rPr>
        <w:t xml:space="preserve">Stage 1 — Problem Statement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deliberate re-architecture (shutting offline acquisition and manual follow-ups, pausing marketing, rebuilding the CSP OS, pruning weak CSPs) improved the long-term model but triggered a severe short-term shock. The active base fell from ~170K to ~100K. The system is in a classic cold-start deadlock: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demand density → CSPs pull technicians and de-prioritise Wiom → conversion drops → realised growth drops → CSP belief drops → prioritisation drops further.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double collapse</w:t>
      </w:r>
      <w:r w:rsidDel="00000000" w:rsidR="00000000" w:rsidRPr="00000000">
        <w:rPr>
          <w:rtl w:val="0"/>
        </w:rPr>
        <w:t xml:space="preserve">, not one problem: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Leads reaching CSPs: ~26,400/month → ~2,100/month (−92%)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Conversion (accepted → install): ~62% → ~40%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Installs: roughly −95%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CSP attrition: of ~1,053 active in Oct–Dec, 626 (59%) have gone dark; 376 of those were strong, high-converting partners </w:t>
      </w:r>
      <w:r w:rsidDel="00000000" w:rsidR="00000000" w:rsidRPr="00000000">
        <w:rPr>
          <w:i w:val="1"/>
          <w:iCs w:val="1"/>
          <w:rtl w:val="0"/>
        </w:rPr>
        <w:t xml:space="preserve">starved, not lost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Wiom has effectively already run the empirical proof of the diagnostic.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Pre-2026, CSPs received ₹0 per install — installs were unpaid, with CSPs earning from recurring recharge revenue from customers they installed. Wiom subsequently introduced ₹300/install. So per-install economics strictly improved (zero → ₹300 </w:t>
      </w:r>
      <w:r w:rsidDel="00000000" w:rsidR="00000000" w:rsidRPr="00000000">
        <w:rPr>
          <w:i w:val="1"/>
          <w:iCs w:val="1"/>
          <w:rtl w:val="0"/>
        </w:rPr>
        <w:t xml:space="preserve">on top of</w:t>
      </w:r>
      <w:r w:rsidDel="00000000" w:rsidR="00000000" w:rsidRPr="00000000">
        <w:rPr>
          <w:rtl w:val="0"/>
        </w:rPr>
        <w:t xml:space="preserve"> the same recharge tail). And CSPs still didn't reactivate. The binding constraint is not per-install rate; it is </w:t>
      </w:r>
      <w:r w:rsidDel="00000000" w:rsidR="00000000" w:rsidRPr="00000000">
        <w:rPr>
          <w:b w:val="1"/>
          <w:bCs w:val="1"/>
          <w:rtl w:val="0"/>
        </w:rPr>
        <w:t xml:space="preserve">volume predictability</w:t>
      </w:r>
      <w:r w:rsidDel="00000000" w:rsidR="00000000" w:rsidRPr="00000000">
        <w:rPr>
          <w:rtl w:val="0"/>
        </w:rPr>
        <w:t xml:space="preserve">. This is unusually strong evidence — the volume-uncertainty diagnostic isn't a hypothesis to test, it is already confirmed by Wiom's own pricing history.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uu3yrdg54fou" w:id="2"/>
      <w:bookmarkEnd w:id="2"/>
      <w:r w:rsidDel="00000000" w:rsidR="00000000" w:rsidRPr="00000000">
        <w:rPr>
          <w:rtl w:val="0"/>
        </w:rPr>
        <w:t xml:space="preserve">Stage 2 — Objective</w:t>
      </w:r>
    </w:p>
    <w:p w:rsidR="00000000" w:rsidDel="00000000" w:rsidP="00000000" w:rsidRDefault="00000000" w:rsidRPr="00000000" w14:paraId="00000017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Restore demand density above the activation threshold in selected CSP clusters and convert that demand reliably through CSP action, </w:t>
      </w:r>
      <w:r w:rsidDel="00000000" w:rsidR="00000000" w:rsidRPr="00000000">
        <w:rPr>
          <w:i w:val="1"/>
          <w:iCs w:val="1"/>
          <w:rtl w:val="0"/>
        </w:rPr>
        <w:t xml:space="preserve">proving that the pull-based model can restart and sustain itself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without ongoing extraordinary support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bolded clause is doing structural work — it is the </w:t>
      </w:r>
      <w:r w:rsidDel="00000000" w:rsidR="00000000" w:rsidRPr="00000000">
        <w:rPr>
          <w:b w:val="1"/>
          <w:bCs w:val="1"/>
          <w:rtl w:val="0"/>
        </w:rPr>
        <w:t xml:space="preserve">foundational obligation</w:t>
      </w:r>
      <w:r w:rsidDel="00000000" w:rsidR="00000000" w:rsidRPr="00000000">
        <w:rPr>
          <w:rtl w:val="0"/>
        </w:rPr>
        <w:t xml:space="preserve"> identified in Stage 6 below.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deck covers the </w:t>
      </w:r>
      <w:r w:rsidDel="00000000" w:rsidR="00000000" w:rsidRPr="00000000">
        <w:rPr>
          <w:b w:val="1"/>
          <w:bCs w:val="1"/>
          <w:rtl w:val="0"/>
        </w:rPr>
        <w:t xml:space="preserve">supply / conversion</w:t>
      </w:r>
      <w:r w:rsidDel="00000000" w:rsidR="00000000" w:rsidRPr="00000000">
        <w:rPr>
          <w:rtl w:val="0"/>
        </w:rPr>
        <w:t xml:space="preserve"> side of the two-pronged problem. Demand density is a parallel intervention owned by a separate team. The two cannot be evaluated in full isolation — a CSP spark fired into a still-starved cluster pays for idle capacity and rents behaviour — but the </w:t>
      </w:r>
      <w:r w:rsidDel="00000000" w:rsidR="00000000" w:rsidRPr="00000000">
        <w:rPr>
          <w:i w:val="1"/>
          <w:iCs w:val="1"/>
          <w:rtl w:val="0"/>
        </w:rPr>
        <w:t xml:space="preserve">selection</w:t>
      </w:r>
      <w:r w:rsidDel="00000000" w:rsidR="00000000" w:rsidRPr="00000000">
        <w:rPr>
          <w:rtl w:val="0"/>
        </w:rPr>
        <w:t xml:space="preserve"> of the supply intervention can be made independently, evaluated on whatever volume the demand team delivers.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d59rvu6d9dsq" w:id="3"/>
      <w:bookmarkEnd w:id="3"/>
      <w:r w:rsidDel="00000000" w:rsidR="00000000" w:rsidRPr="00000000">
        <w:rPr>
          <w:rtl w:val="0"/>
        </w:rPr>
        <w:t xml:space="preserve">Stage 3 — Success Conditions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the Lock: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Demand density exceeds the activation threshold (P1 = L*).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Conversion approaches engaged-CSP benchmark levels (P2 ≈ 45%).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Behaviour remains stable after intervention removal </w:t>
      </w:r>
      <w:r w:rsidDel="00000000" w:rsidR="00000000" w:rsidRPr="00000000">
        <w:rPr>
          <w:i w:val="1"/>
          <w:iCs w:val="1"/>
          <w:rtl w:val="0"/>
        </w:rPr>
        <w:t xml:space="preserve">(this is the foundational obligation — see Stage 6)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Incremental value exceeds intervention cost.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Results are repeatable and diagnostic.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aqy2jxryo930" w:id="4"/>
      <w:bookmarkEnd w:id="4"/>
      <w:r w:rsidDel="00000000" w:rsidR="00000000" w:rsidRPr="00000000">
        <w:rPr>
          <w:rtl w:val="0"/>
        </w:rPr>
        <w:t xml:space="preserve">Stage 4 — Boundary Values (pass/fail filter, applied in Stage 8A)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the Lock: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Temporary intervention only. No permanent compensation redesign.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return to Wiom-managed manpower.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ongoing per-CSP manual management layer.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Explainable to a CSP in one sentence.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Predefined exit path.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BV6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 CSP OS principles (Wiom owns demand, CSP executes).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BV7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Outcomes must be diagnostic.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BV8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Temporary cluster concentration OK; permanent dependence not.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BV9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constructed control; pre/post vs untreated network.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b8agwy4j0fvk" w:id="5"/>
      <w:bookmarkEnd w:id="5"/>
      <w:r w:rsidDel="00000000" w:rsidR="00000000" w:rsidRPr="00000000">
        <w:rPr>
          <w:rtl w:val="0"/>
        </w:rPr>
        <w:t xml:space="preserve">Stage 5 — Kill Conditions (pass/fail filter, applied in Stage 8A)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From the Lock: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per engaged CSP per week fails to cross L* (density failure)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support removal, conversion fails to move toward engaged benchmark (activation failure)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Behaviour deteriorates during post-removal observation window (persistence failure)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Incremental value created is lower than intervention cost (economic failure)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Attribution 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Treated-cluster lift indistinguishable from concurrent network-wide lift (evidence-quality flag, not a kill)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gvt2y39x2imz" w:id="6"/>
      <w:bookmarkEnd w:id="6"/>
      <w:r w:rsidDel="00000000" w:rsidR="00000000" w:rsidRPr="00000000">
        <w:rPr>
          <w:rtl w:val="0"/>
        </w:rPr>
        <w:t xml:space="preserve">Stage 6 — Selection Criteria (the new layer)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Per the framework: criteria are not invented; they are the objective, decomposed. Every Layer 1 criterion must finish "the best solution is one that…" using language traceable to the Objective.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hmcvj8i2wdh6" w:id="7"/>
      <w:bookmarkEnd w:id="7"/>
      <w:r w:rsidDel="00000000" w:rsidR="00000000" w:rsidRPr="00000000">
        <w:rPr>
          <w:rtl w:val="0"/>
        </w:rPr>
        <w:t xml:space="preserve">Layer 1 — Objective-derived (decides)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The Floor — Foundational Obligation: PERSISTENCE.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objective's hardest clause is "</w:t>
      </w:r>
      <w:r w:rsidDel="00000000" w:rsidR="00000000" w:rsidRPr="00000000">
        <w:rPr>
          <w:i w:val="1"/>
          <w:iCs w:val="1"/>
          <w:rtl w:val="0"/>
        </w:rPr>
        <w:t xml:space="preserve">sustain itself without ongoing extraordinary support</w:t>
      </w:r>
      <w:r w:rsidDel="00000000" w:rsidR="00000000" w:rsidRPr="00000000">
        <w:rPr>
          <w:rtl w:val="0"/>
        </w:rPr>
        <w:t xml:space="preserve">." This is the </w:t>
      </w:r>
      <w:r w:rsidDel="00000000" w:rsidR="00000000" w:rsidRPr="00000000">
        <w:rPr>
          <w:b w:val="1"/>
          <w:bCs w:val="1"/>
          <w:rtl w:val="0"/>
        </w:rPr>
        <w:t xml:space="preserve">category-defining</w:t>
      </w:r>
      <w:r w:rsidDel="00000000" w:rsidR="00000000" w:rsidRPr="00000000">
        <w:rPr>
          <w:rtl w:val="0"/>
        </w:rPr>
        <w:t xml:space="preserve"> clause — if an option doesn't persist after support is withdrawn, we didn't restart the pull model, we </w:t>
      </w:r>
      <w:r w:rsidDel="00000000" w:rsidR="00000000" w:rsidRPr="00000000">
        <w:rPr>
          <w:i w:val="1"/>
          <w:iCs w:val="1"/>
          <w:rtl w:val="0"/>
        </w:rPr>
        <w:t xml:space="preserve">rented installs</w:t>
      </w:r>
      <w:r w:rsidDel="00000000" w:rsidR="00000000" w:rsidRPr="00000000">
        <w:rPr>
          <w:rtl w:val="0"/>
        </w:rPr>
        <w:t xml:space="preserve">. That is not building a worse version of the thing; it is failing to build the thing at all.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Per the framework, the foundational obligation becomes a </w:t>
      </w:r>
      <w:r w:rsidDel="00000000" w:rsidR="00000000" w:rsidRPr="00000000">
        <w:rPr>
          <w:b w:val="1"/>
          <w:bCs w:val="1"/>
          <w:rtl w:val="0"/>
        </w:rPr>
        <w:t xml:space="preserve">floor</w:t>
      </w:r>
      <w:r w:rsidDel="00000000" w:rsidR="00000000" w:rsidRPr="00000000">
        <w:rPr>
          <w:rtl w:val="0"/>
        </w:rPr>
        <w:t xml:space="preserve">, not a scored criterion. Options that fail it are eliminated before ranking. </w:t>
      </w:r>
      <w:r w:rsidDel="00000000" w:rsidR="00000000" w:rsidRPr="00000000">
        <w:rPr>
          <w:i w:val="1"/>
          <w:iCs w:val="1"/>
          <w:rtl w:val="0"/>
        </w:rPr>
        <w:t xml:space="preserve">No amount of strength on other dimensions averages it away.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Remaining Layer 1 criteria, applied to floor-clearers: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Does it decisively cross the activation threshold at today's volume, or merely nibble?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Pull-model coherence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Does it work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through</w:t>
            </w:r>
            <w:r w:rsidDel="00000000" w:rsidR="00000000" w:rsidRPr="00000000">
              <w:rPr>
                <w:rtl w:val="0"/>
              </w:rPr>
              <w:t xml:space="preserve"> the CSP-as-execution-agent model, or around it?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Does it produce a clear read, win or lose? (Attribution Warning discounts options here.)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g32vq2usc1v2" w:id="8"/>
      <w:bookmarkEnd w:id="8"/>
      <w:r w:rsidDel="00000000" w:rsidR="00000000" w:rsidRPr="00000000">
        <w:rPr>
          <w:rtl w:val="0"/>
        </w:rPr>
        <w:t xml:space="preserve">Layer 2 — Stage-derived (tie-breaks only; never overrides Layer 1)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Speed-to-signal — fast proof beats slow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Cost-to-learn / reversibility — cheap, unwindable bets win ties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Fit to current resources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hyhyf3i4xf7m" w:id="9"/>
      <w:bookmarkEnd w:id="9"/>
      <w:r w:rsidDel="00000000" w:rsidR="00000000" w:rsidRPr="00000000">
        <w:rPr>
          <w:rtl w:val="0"/>
        </w:rPr>
        <w:t xml:space="preserve">Explicitly NOT criteria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Installs / CAC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Measurement (Stage 9), not selection (Stage 6) — see "the one rule everyone forgets" in the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Absolute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Acceptability gate (must clear ₹50L), not preferability — cost validates a chosen option, doesn't choose between options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 of 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Lives in BV4 (pass/fail) or Layer 2 (tie-break) — not Layer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ROI (₹/₹)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Partially double-counts KC5; also rests on un-locked P3 — both reasons it isn't a Layer 1 criterion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i w:val="1"/>
          <w:iCs w:val="1"/>
          <w:rtl w:val="0"/>
        </w:rPr>
        <w:t xml:space="preserve">The last two exclusions are explicit lessons from Satyam's read of Nishit's weighted rubric: persistence is a floor (Pay-for-Performance scored 3.30 with a fatal flaw hidden inside it), and ROI was effectively a second copy of KC5 on a parameter that isn't locked.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dzimqr3yuxok" w:id="10"/>
      <w:bookmarkEnd w:id="10"/>
      <w:r w:rsidDel="00000000" w:rsidR="00000000" w:rsidRPr="00000000">
        <w:rPr>
          <w:rtl w:val="0"/>
        </w:rPr>
        <w:t xml:space="preserve">Stage 7 — Candidate Solutions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Six candidates considered. Five from Nishit's deadlock note plus one added from our industry research (Tiered Per-Install Premium):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exemplar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Mutual Compact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sides commit simultaneously, with bounded numbers (Wiom commits weekly lead volume; CSP commits install rate)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OpenTable two-sided launch subsidies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Self-liquidating, performance-gated floor. Payout = max(piece-rate, floor)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OYO, Uber 2021 stimulus, UC Earnings Promise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Earned-Flow Ladder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routing + status weighted to high-converting CSPs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DoorDash Top Dasher, Airbnb Superhost, Uber Pro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Pay-for-Performance / Lottery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Milestone bonus or prize-draw entries for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Uber Quest, DoorDash Challenges, Swiggy/Zomato touch-point bonuses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Capacity-on-Demand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Wiom-sourced technician pool the CSP draws 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Urban Company partner kits (closest analog)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Tiered Per-Install Premium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(added)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Per-install rate ladders by trailing conversion (Bronze ₹300 / Silver ₹400 / Gold ₹500)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Uber Pro 5% premium, DoorDash Platinum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88na82frxol0" w:id="11"/>
      <w:bookmarkEnd w:id="11"/>
      <w:r w:rsidDel="00000000" w:rsidR="00000000" w:rsidRPr="00000000">
        <w:rPr>
          <w:rtl w:val="0"/>
        </w:rPr>
        <w:t xml:space="preserve">Stage 8 — Decision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ecemc22m96t" w:id="12"/>
      <w:bookmarkEnd w:id="12"/>
      <w:r w:rsidDel="00000000" w:rsidR="00000000" w:rsidRPr="00000000">
        <w:rPr>
          <w:rtl w:val="0"/>
        </w:rPr>
        <w:t xml:space="preserve">Stage A — BVs + KCs pass/fail filter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Mutual Compact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Clears all 9 BVs and is testable against all 4 KCs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Income Guarantee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Clears all 9 BVs (BV2 — no Wiom-managed manpower — defended via "floor on volatile revenue" framing)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Earned-Flow Ladder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 (conditionally)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Clears BVs only with subscriber-share caps per CSP — see Stage C discussion below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Pay-for-Performance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Clears all BVs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Capacity-on-Demand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 — eliminated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Fails BV2 (Wiom-managed manpower) and BV3 (per-CSP babysitting) as proposed. Could only re-enter if structured as a fully third-party installer pool — that is a different proposal.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Tiered Per-Install 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Clears all 9 BVs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Five candidates carry to Stage B.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v0716poy1668" w:id="13"/>
      <w:bookmarkEnd w:id="13"/>
      <w:r w:rsidDel="00000000" w:rsidR="00000000" w:rsidRPr="00000000">
        <w:rPr>
          <w:rtl w:val="0"/>
        </w:rPr>
        <w:t xml:space="preserve">Stage B — The Floor: Persistence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Clears floor?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Mutual Compact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Builds a contractual rail (mutual commitments) that doesn't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  <w:t xml:space="preserve"> to be withdrawn — the compact is the durable relationship, not the support. Behaviour persists because the contract persists.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Income Guarantee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— only if structured as self-liquidating with hard sunset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Pure standalone pay-floor with no sunset rents behaviour (the Ola 2017 trap). Self-liquidating + JAS sunset + handed off to a sustainer clears the floor.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Cleared under conditions, not unconditionally.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Earned-Flow Ladder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removal moment by design — the ladder is the persistence rail itself. The mechanism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 the post-support flywheel.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Pay-for-Performance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 — eliminated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Rents behaviour by construction. Once the bonus is paid, no structural reason for the CSP to keep performing. No persistence rail. Per Satyam's note: "Pay-for-Performance does not clear it as a standalone backbone — it stays useful as a temporary ignition mechanism, which is exactly how we're using it."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Tiered Per-Install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 — eliminated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Pure rate multiplier with no persistence rail. When the premium ends (Oct 1), economics step back to baseline; the same KC3 risk MG has — but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without</w:t>
            </w:r>
            <w:r w:rsidDel="00000000" w:rsidR="00000000" w:rsidRPr="00000000">
              <w:rPr>
                <w:rtl w:val="0"/>
              </w:rPr>
              <w:t xml:space="preserve"> the structural Compact-and-Ladder pairing that addresses it. As a standalone backbone, it doesn't clear the floor for the same reason Pay-for-Performance doesn't.</w:t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Three candidates clear the floor: </w:t>
      </w:r>
      <w:r w:rsidDel="00000000" w:rsidR="00000000" w:rsidRPr="00000000">
        <w:rPr>
          <w:b w:val="1"/>
          <w:bCs w:val="1"/>
          <w:rtl w:val="0"/>
        </w:rPr>
        <w:t xml:space="preserve">Mutual Compact, Income Guarantee, Earned-Flow Ladder.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i w:val="1"/>
          <w:iCs w:val="1"/>
          <w:rtl w:val="0"/>
        </w:rPr>
        <w:t xml:space="preserve">Notice what the floor has already done — before any ranking — it has eliminated the two options that score well on speed, simplicity, and cost predictability but rent behaviour. This is the framework working as designed.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vejialajueme" w:id="14"/>
      <w:bookmarkEnd w:id="14"/>
      <w:r w:rsidDel="00000000" w:rsidR="00000000" w:rsidRPr="00000000">
        <w:rPr>
          <w:rtl w:val="0"/>
        </w:rPr>
        <w:t xml:space="preserve">Stage C — Rank floor-clearers on remaining Layer 1 criteria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Pull-model coherence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 learning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Mutual Compact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  <w:t xml:space="preserve"> — names committed lead volume; removes "who moves first" deadlock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— mutual contract within CSP 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— outcome diagnostic on both Wiom's lead-delivery commitment and CSP's install commitment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directly de-risks CSP manpower investment; the empirical-proof point (₹0→₹300) shows this is the binding 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— payout gated on system-recorded conversion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— clear KC2/KC3 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Earned-Flow Ladder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  <w:t xml:space="preserve"> — needs a working flywheel; useless when everyone is starved at ~2,100 leads/month network-wide. Cannot ignite.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— routes through the demand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 — concentration confound (see below)</w:t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The decisive insight:</w:t>
      </w:r>
      <w:r w:rsidDel="00000000" w:rsidR="00000000" w:rsidRPr="00000000">
        <w:rPr>
          <w:rtl w:val="0"/>
        </w:rPr>
        <w:t xml:space="preserve"> no single floor-clearer wins both Activation and Persistence.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Compact and Guarantee dominate Activation</w:t>
      </w:r>
      <w:r w:rsidDel="00000000" w:rsidR="00000000" w:rsidRPr="00000000">
        <w:rPr>
          <w:rtl w:val="0"/>
        </w:rPr>
        <w:t xml:space="preserve"> — they move first, they name numbers, they break the "who moves first" deadlock. But Guarantee alone (without a sustainer rail) only conditionally clears the floor.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Ladder dominates Persistence</w:t>
      </w:r>
      <w:r w:rsidDel="00000000" w:rsidR="00000000" w:rsidRPr="00000000">
        <w:rPr>
          <w:rtl w:val="0"/>
        </w:rPr>
        <w:t xml:space="preserve"> — it's the post-support rail by design. But it cannot ignite — at today's volume of ~2,100 leads/month, the ladder has nothing to allocate.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Per the framework: </w:t>
      </w:r>
      <w:r w:rsidDel="00000000" w:rsidR="00000000" w:rsidRPr="00000000">
        <w:rPr>
          <w:i w:val="1"/>
          <w:iCs w:val="1"/>
          <w:rtl w:val="0"/>
        </w:rPr>
        <w:t xml:space="preserve">"the pairing emerges naturally once the objective is applied. No single concept satisfies both activation and persistence — the Ladder can't ignite, the Compact and Guarantee can't persist alone — so the objective itself leads us to a staged solution."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 of Stage C: a pairing, not a single pick.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Igniter (activation):</w:t>
      </w:r>
      <w:r w:rsidDel="00000000" w:rsidR="00000000" w:rsidRPr="00000000">
        <w:rPr>
          <w:rtl w:val="0"/>
        </w:rPr>
        <w:t xml:space="preserve"> Mutual Compact + Income Guarantee, fused. Compact names the lead-volume commitment; Guarantee is the make-good if Wiom under-delivers. Together they form the activation instrument.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Sustainer (persistence):</w:t>
      </w:r>
      <w:r w:rsidDel="00000000" w:rsidR="00000000" w:rsidRPr="00000000">
        <w:rPr>
          <w:rtl w:val="0"/>
        </w:rPr>
        <w:t xml:space="preserve"> Earned-Flow Ladder, running in parallel from day one. Builds the rail that catches behaviour after the igniter sunsets.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Opening jolt (re-engagement, not backbone):</w:t>
      </w:r>
      <w:r w:rsidDel="00000000" w:rsidR="00000000" w:rsidRPr="00000000">
        <w:rPr>
          <w:rtl w:val="0"/>
        </w:rPr>
        <w:t xml:space="preserve"> A short Pay-for-Performance / lottery burst to re-engage CSP attention while the Compact-Guarantee paperwork closes and the Ladder is being engineered. Explicitly excluded as a backbone (failed the floor in Stage B), included narrowly as a launch accelerant.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csvop7cjq682" w:id="15"/>
      <w:bookmarkEnd w:id="15"/>
      <w:r w:rsidDel="00000000" w:rsidR="00000000" w:rsidRPr="00000000">
        <w:rPr>
          <w:rtl w:val="0"/>
        </w:rPr>
        <w:t xml:space="preserve">Stage D — Stage tie-breakers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Not needed.</w:t>
      </w:r>
      <w:r w:rsidDel="00000000" w:rsidR="00000000" w:rsidRPr="00000000">
        <w:rPr>
          <w:rtl w:val="0"/>
        </w:rPr>
        <w:t xml:space="preserve"> Stage C separated the survivors into different roles in a staged solution. The objective itself decided. The framework's discipline holds: </w:t>
      </w:r>
      <w:r w:rsidDel="00000000" w:rsidR="00000000" w:rsidRPr="00000000">
        <w:rPr>
          <w:i w:val="1"/>
          <w:iCs w:val="1"/>
          <w:rtl w:val="0"/>
        </w:rPr>
        <w:t xml:space="preserve">Layer 2 may never override Layer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50vdyux3ww1h" w:id="16"/>
      <w:bookmarkEnd w:id="16"/>
      <w:r w:rsidDel="00000000" w:rsidR="00000000" w:rsidRPr="00000000">
        <w:rPr>
          <w:rtl w:val="0"/>
        </w:rPr>
        <w:t xml:space="preserve">Six analytical inputs that sharpen the endorsed solution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 pairing is the endorsed answer. These inputs from our prior work (Lock evaluation, industry research, Uber 2021 deep-dive) refine it on points Nishit's note does not address.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420n7nbaqxzm" w:id="17"/>
      <w:bookmarkEnd w:id="17"/>
      <w:r w:rsidDel="00000000" w:rsidR="00000000" w:rsidRPr="00000000">
        <w:rPr>
          <w:rtl w:val="0"/>
        </w:rPr>
        <w:t xml:space="preserve">1. Empirical proof of the volume-uncertainty diagnostic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Wiom's ₹0→₹300 pricing change is a natural experiment proving the diagnostic. Per-install economics strictly improved; CSPs didn't reactivate. Conclusion: the binding constraint is volume predictability, not per-install rate. </w:t>
      </w:r>
      <w:r w:rsidDel="00000000" w:rsidR="00000000" w:rsidRPr="00000000">
        <w:rPr>
          <w:i w:val="1"/>
          <w:iCs w:val="1"/>
          <w:rtl w:val="0"/>
        </w:rPr>
        <w:t xml:space="preserve">The Compact addresses the binding constraint directly — by committing volume — in a way no pure pay mechanism can. This isn't a hypothesis; Wiom already ran the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dsf28wum8alw" w:id="18"/>
      <w:bookmarkEnd w:id="18"/>
      <w:r w:rsidDel="00000000" w:rsidR="00000000" w:rsidRPr="00000000">
        <w:rPr>
          <w:rtl w:val="0"/>
        </w:rPr>
        <w:t xml:space="preserve">2. Uber 2021 stimulus precedent at depth (post-COVID cold-start problem)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Same diagnostic in Uber's words: "drivers couldn't count on getting enough trips to make it worth their time"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Same mechanism category: trip-count guarantees + hourly minimums (income guarantees, structurally identical to our Guarantee leg)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Same proportional scale: $250M was ~0.7% of Uber's 2021 mobility gross bookings; Wiom's ₹50L is ~0.83% of annual revenue (₹60 cr) — roughly equivalent proportional bet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Same sunset discipline: explicitly temporary; tapered Q3 2021; supply held through Q4 without re-stimulus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420K drivers returned Feb–July 2021; KC3 (persistence) passed in real-world conditions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This is the industry-validated proof point that the mechanism works in identical conditions.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h5fec1nwgm34" w:id="19"/>
      <w:bookmarkEnd w:id="19"/>
      <w:r w:rsidDel="00000000" w:rsidR="00000000" w:rsidRPr="00000000">
        <w:rPr>
          <w:rtl w:val="0"/>
        </w:rPr>
        <w:t xml:space="preserve">3. Subscription-business stock-concentration risk on the Ladder </w:t>
      </w:r>
      <w:r w:rsidDel="00000000" w:rsidR="00000000" w:rsidRPr="00000000">
        <w:rPr>
          <w:i w:val="1"/>
          <w:iCs w:val="1"/>
          <w:rtl w:val="0"/>
        </w:rPr>
        <w:t xml:space="preserve">(input Nishit's note does not address)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Earned-Flow Ladder is borrowed from transactional businesses (DoorDash, Uber Pro, UC Prime). In those businesses, "more leads to high-converters" is </w:t>
      </w:r>
      <w:r w:rsidDel="00000000" w:rsidR="00000000" w:rsidRPr="00000000">
        <w:rPr>
          <w:i w:val="1"/>
          <w:iCs w:val="1"/>
          <w:rtl w:val="0"/>
        </w:rPr>
        <w:t xml:space="preserve">flow</w:t>
      </w:r>
      <w:r w:rsidDel="00000000" w:rsidR="00000000" w:rsidRPr="00000000">
        <w:rPr>
          <w:rtl w:val="0"/>
        </w:rPr>
        <w:t xml:space="preserve"> concentration — each transaction independent.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Wiom is a subscription business.</w:t>
      </w:r>
      <w:r w:rsidDel="00000000" w:rsidR="00000000" w:rsidRPr="00000000">
        <w:rPr>
          <w:rtl w:val="0"/>
        </w:rPr>
        <w:t xml:space="preserve"> Each lead "won" creates a multi-year recharge revenue annuity. Lead Priority over JAS doesn't just allocate work; it allocates customer ownership. Three downstream consequences: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concentration after intervention removal</w:t>
      </w:r>
      <w:r w:rsidDel="00000000" w:rsidR="00000000" w:rsidRPr="00000000">
        <w:rPr>
          <w:rtl w:val="0"/>
        </w:rPr>
        <w:t xml:space="preserve"> — BV8 prohibits permanent dependence; the Ladder creates exactly that via customer-stock concentration that persists past the routing.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Partner-power asymmetry</w:t>
      </w:r>
      <w:r w:rsidDel="00000000" w:rsidR="00000000" w:rsidRPr="00000000">
        <w:rPr>
          <w:rtl w:val="0"/>
        </w:rPr>
        <w:t xml:space="preserve"> — if 20% of CSPs end up holding 70%+ of subscribers, they have structural leverage over future commission/policy decisions.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Single-CSP failure becomes catastrophic</w:t>
      </w:r>
      <w:r w:rsidDel="00000000" w:rsidR="00000000" w:rsidRPr="00000000">
        <w:rPr>
          <w:rtl w:val="0"/>
        </w:rPr>
        <w:t xml:space="preserve"> — losing one Top-20 CSP means losing their entire subscriber book at once.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implication:</w:t>
      </w:r>
      <w:r w:rsidDel="00000000" w:rsidR="00000000" w:rsidRPr="00000000">
        <w:rPr>
          <w:rtl w:val="0"/>
        </w:rPr>
        <w:t xml:space="preserve"> the Ladder </w:t>
      </w:r>
      <w:r w:rsidDel="00000000" w:rsidR="00000000" w:rsidRPr="00000000">
        <w:rPr>
          <w:i w:val="1"/>
          <w:i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designed with hard caps on cumulative subscriber-share per CSP. The cap protects the BV8 constraint that the basic mechanism violates. This is execution-critical and worth naming explicitly in the Decision Record.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54fx1mazpsmf" w:id="20"/>
      <w:bookmarkEnd w:id="20"/>
      <w:r w:rsidDel="00000000" w:rsidR="00000000" w:rsidRPr="00000000">
        <w:rPr>
          <w:rtl w:val="0"/>
        </w:rPr>
        <w:t xml:space="preserve">4. Wiom-specific sizing under the ₹50L cost ceiling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Worst-case Guarantee cost = N_eligible × ₹5,000 × 3 months. ₹50L ceiling implies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N_eligible ≤ 333 CSPs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The prior-strong cohort (≥20 leads accepted AND ≥50% conversion in Oct-Dec 2025, currently active) is ~719 CSPs. Phasing options for the JAS launch: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Top 333 by active_base (deepest existing recharge revenue)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Top 333 by Oct-Dec 2025 install volume (most proven capability)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Top 333 by current conversion (strong-survivors)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Data work in flight (Prompts 2 + 3 in Claude Code) returns the actual eligible distribution and confirms the phasing cut.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i3vk5etjl9wf" w:id="21"/>
      <w:bookmarkEnd w:id="21"/>
      <w:r w:rsidDel="00000000" w:rsidR="00000000" w:rsidRPr="00000000">
        <w:rPr>
          <w:rtl w:val="0"/>
        </w:rPr>
        <w:t xml:space="preserve">5. JAS sunset + opportunity-not-entitlement framing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 Ola 2017 cautionary tale — incentives ramped up at cold start, withdrawn ungracefully two years later, drivers protested and migrated to Rapido / Namma Yatri zero-commission competitors. The lesson is not "don't run guarantees" — Uber 2021 ran an identical mechanism and KC3 passed. The lesson is </w:t>
      </w:r>
      <w:r w:rsidDel="00000000" w:rsidR="00000000" w:rsidRPr="00000000">
        <w:rPr>
          <w:b w:val="1"/>
          <w:bCs w:val="1"/>
          <w:rtl w:val="0"/>
        </w:rPr>
        <w:t xml:space="preserve">discipline of the taper + framing of temporariness.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Concrete: communication to CSPs should frame the Compact + Guarantee as </w:t>
      </w:r>
      <w:r w:rsidDel="00000000" w:rsidR="00000000" w:rsidRPr="00000000">
        <w:rPr>
          <w:i w:val="1"/>
          <w:iCs w:val="1"/>
          <w:rtl w:val="0"/>
        </w:rPr>
        <w:t xml:space="preserve">"the volume bridge is open for 3 months — act now to build capacity"</w:t>
      </w:r>
      <w:r w:rsidDel="00000000" w:rsidR="00000000" w:rsidRPr="00000000">
        <w:rPr>
          <w:rtl w:val="0"/>
        </w:rPr>
        <w:t xml:space="preserve">, not as </w:t>
      </w:r>
      <w:r w:rsidDel="00000000" w:rsidR="00000000" w:rsidRPr="00000000">
        <w:rPr>
          <w:i w:val="1"/>
          <w:iCs w:val="1"/>
          <w:rtl w:val="0"/>
        </w:rPr>
        <w:t xml:space="preserve">"Wiom is investing in your business."</w:t>
      </w:r>
      <w:r w:rsidDel="00000000" w:rsidR="00000000" w:rsidRPr="00000000">
        <w:rPr>
          <w:rtl w:val="0"/>
        </w:rPr>
        <w:t xml:space="preserve"> Same content; the first framing makes the JAS sunset feel built-in. The second invites the Ola 2017 backlash.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50tuwwlkt0l0" w:id="22"/>
      <w:bookmarkEnd w:id="22"/>
      <w:r w:rsidDel="00000000" w:rsidR="00000000" w:rsidRPr="00000000">
        <w:rPr>
          <w:rtl w:val="0"/>
        </w:rPr>
        <w:t xml:space="preserve">6. KC3 confound — demand-team coordination ask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Uber's KC3 verdict was clean because demand recovered to peak by Q3-Q4 2021. Wiom's demand may only partially return by end-Sep — the demand team's intervention is itself in motion. This means the post-Sep persistence verdict has two failure modes that look identical: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The Guarantee rented behaviour (true mechanism failure)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Demand didn't return enough to sustain CSP economics post-support (upstream cause)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Operational implication:</w:t>
      </w:r>
      <w:r w:rsidDel="00000000" w:rsidR="00000000" w:rsidRPr="00000000">
        <w:rPr>
          <w:rtl w:val="0"/>
        </w:rPr>
        <w:t xml:space="preserve"> the demand team should pre-commit a lead-volume target to MG-eligible clusters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Compact is signed. Without that pre-commitment, every disappointing OND result becomes a "wasn't our fault" debate. The Compact's two-way structure makes this coordination natural — Wiom's side of the Compact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demand commitment.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e3eljvd0k699" w:id="23"/>
      <w:bookmarkEnd w:id="23"/>
      <w:r w:rsidDel="00000000" w:rsidR="00000000" w:rsidRPr="00000000">
        <w:rPr>
          <w:rtl w:val="0"/>
        </w:rPr>
        <w:t xml:space="preserve">Stage 9 — Measurement (post-decision, not part of selection)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KC1 (density)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read of leads/CSP/week in MG-eligible clusters vs L*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KC2 (activation)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Post-Sep conversion rate among MG-eligible cohort vs P2 benchmark (45%)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KC3 (persistence)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as KC2 but for full Oct-Nov-Dec observation window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KC5 (economics)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1: cost ceiling check against ₹50L (derives from Prompt 3 output). Phase 2: incremental value vs cost (requires P3, deferred — Prompts 1 + 4)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Attribution 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Treated-cluster lift vs concurrent non-treated lift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Installs / CAC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Tracked but explicitly NOT used as selection criteria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ysn2j6t3kgh9" w:id="24"/>
      <w:bookmarkEnd w:id="24"/>
      <w:r w:rsidDel="00000000" w:rsidR="00000000" w:rsidRPr="00000000">
        <w:rPr>
          <w:rtl w:val="0"/>
        </w:rPr>
        <w:t xml:space="preserve">Stage 10 — Learning (recorded post-decision)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Three questions to capture once OND data lands (end-Dec 2026):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the floor catch the right thing? Specifically: would Pay-for-Performance or Tiered Premium (eliminated at the floor) have actually persisted? If yes, the floor was over-restrictive; if no, the floor did its job.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Activation power correctly identify the Compact + Guarantee as the igniter? Specifically: was the Ladder genuinely unable to ignite at low volume, or did we under-estimate its activation power?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the subscription-stock-concentration design guardrail (subscriber-share caps) hold, or did the Ladder still concentrate ownership in ways we hadn't anticipated?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These feed into the meta-loop: does the framework itself improve our decisions, or just structure them?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k0zd36djd4kw" w:id="25"/>
      <w:bookmarkEnd w:id="25"/>
      <w:r w:rsidDel="00000000" w:rsidR="00000000" w:rsidRPr="00000000">
        <w:rPr>
          <w:rtl w:val="0"/>
        </w:rPr>
        <w:t xml:space="preserve">Decision Record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i w:val="1"/>
          <w:iCs w:val="1"/>
          <w:rtl w:val="0"/>
        </w:rPr>
        <w:t xml:space="preserve">Per the Framework's template — closes the loop on the Cold Start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to break the CSP cold-start deadlock.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Date: [to be filled at founder approval].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Foundational obligation (floor)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 — "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pull-based model can restart and sustain itself without ongoing extraordinary support</w:t>
            </w:r>
            <w:r w:rsidDel="00000000" w:rsidR="00000000" w:rsidRPr="00000000">
              <w:rPr>
                <w:rtl w:val="0"/>
              </w:rPr>
              <w:t xml:space="preserve">." Eliminated Pay-for-Performance (rents behaviour; no persistence rail) and Tiered Per-Install Premium (pure rate multiplier; same KC3 risk as standalone Guarantee but without the Ladder sustainer to address it). Capacity-on-Demand was eliminated earlier at the Stage A gate (fails BV2 and BV3).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Winner + runner-up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Winner: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paired Compact + Guarantee (igniter) → Earned-Flow Ladder (sustainer), with a short Pay-for-Performance opening jolt</w:t>
            </w:r>
            <w:r w:rsidDel="00000000" w:rsidR="00000000" w:rsidRPr="00000000">
              <w:rPr>
                <w:rtl w:val="0"/>
              </w:rPr>
              <w:t xml:space="preserve">. Runner-up: not applicable — the pairing is the answer the objective produces; no single floor-clearer wins both activation and persistence.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 criteria that separated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objective separated them by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, not by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winner-vs-loser</w:t>
            </w:r>
            <w:r w:rsidDel="00000000" w:rsidR="00000000" w:rsidRPr="00000000">
              <w:rPr>
                <w:rtl w:val="0"/>
              </w:rPr>
              <w:t xml:space="preserve">. Compact and Guarantee dominate Activation Power (they move first; they break the "who moves first" deadlock). Earned-Flow Ladder dominates Persistence (it is the post-support rail by design). All three meet Pull-model Coherence (work through CSP OS) and Clean Learning. The framework therefore produced a staged solution, not a single pick.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tie-breaker (if used)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None. Stage C separated the survivors into distinct roles. Layer 2 (speed-to-signal, cost-to-reverse, fit to resources) not invoked.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this option won (one paragraph)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objective contains two clauses in tension: "restore" (activation) and "sustain itself without ongoing extraordinary support" (persistence). The framework treats persistence as a floor (the category-defining clause); the Mutual Compact, Income Guarantee, and Earned-Flow Ladder all clear that floor (the first two conditionally, on self-liquidation; the third structurally). Among floor-clearers, no single instrument wins both activation and persistence — the Compact and Guarantee de-risk CSP investment and break the deadlock at low volume, while the Ladder is the post-support rail that catches behaviour after the igniter sunsets. Wiom's own ₹0→₹300 natural experiment confirms the diagnostic is volume-predictability, not per-install rate — supporting the Compact's lead-commitment design over a pure pay-floor. Uber's 2021 stimulus is the closest precedent and confirms the mechanism works in identical conditions (420K drivers returned; KC3 passed at Q3 taper). The Ladder requires a subscription-business design guardrail (subscriber-share caps per CSP) that Nishit's note does not address but our analysis identifies. With that guardrail and a temporal sunset (30 Sep 2026), the pairing satisfies the foundational obligation without inheriting the Ola 2017 trap.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 Dec 2026 — end of the post-Sep observation window. Decision Record reopened to record measurement results and learning.</w:t>
            </w:r>
          </w:p>
        </w:tc>
      </w:tr>
    </w:tbl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i w:val="1"/>
          <w:iCs w:val="1"/>
          <w:rtl w:val="0"/>
        </w:rPr>
        <w:t xml:space="preserve">Solution Selection Framework v1.1, applied to Cold Start as the first end-to-end use. Per the framework's own discipline: "We prove it on Cold Start first, refine it where it cracks, and then decide whether it becomes the standard."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