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28"/>
        </w:rPr>
        <w:t>BCSE497J - Project-I</w:t>
        <w:br/>
      </w:r>
    </w:p>
    <w:p>
      <w:pPr>
        <w:spacing w:before="480" w:after="480" w:line="360" w:lineRule="auto"/>
        <w:jc w:val="center"/>
      </w:pPr>
      <w:r>
        <w:rPr>
          <w:rFonts w:ascii="Times New Roman" w:hAnsi="Times New Roman"/>
          <w:b/>
          <w:color w:val="0F172A"/>
          <w:sz w:val="32"/>
        </w:rPr>
        <w:t>CARECHAIN: DECENTRALIZED ELECTRONIC HEALTH RECORD MANAGEMENT USING BLOCKCHAIN AND IPFS</w:t>
      </w:r>
    </w:p>
    <w:p>
      <w:pPr>
        <w:spacing w:after="240"/>
        <w:jc w:val="center"/>
      </w:pPr>
      <w:r>
        <w:rPr>
          <w:rFonts w:ascii="Times New Roman" w:hAnsi="Times New Roman"/>
          <w:i/>
          <w:sz w:val="24"/>
        </w:rPr>
        <w:t>A Project Report (Review-2) submitted in partial fulfillment of the requirements for the degree of</w:t>
      </w:r>
    </w:p>
    <w:p>
      <w:pPr>
        <w:spacing w:line="312" w:lineRule="auto"/>
        <w:jc w:val="center"/>
      </w:pPr>
      <w:r>
        <w:rPr>
          <w:rFonts w:ascii="Times New Roman" w:hAnsi="Times New Roman"/>
          <w:b/>
          <w:sz w:val="26"/>
        </w:rPr>
        <w:t>Bachelor of Technology</w:t>
        <w:br/>
        <w:t>in</w:t>
        <w:br/>
        <w:t>Computer Science and Engineering</w:t>
        <w:br/>
        <w:t>(Specialization in Information Security)</w:t>
        <w:br/>
      </w:r>
    </w:p>
    <w:p>
      <w:pPr>
        <w:spacing w:before="200" w:after="120"/>
        <w:jc w:val="center"/>
      </w:pPr>
      <w:r>
        <w:rPr>
          <w:rFonts w:ascii="Times New Roman" w:hAnsi="Times New Roman"/>
          <w:b/>
          <w:sz w:val="24"/>
        </w:rPr>
        <w:t>Submitted by:</w:t>
      </w:r>
    </w:p>
    <w:tbl>
      <w:tblPr>
        <w:tblW w:type="auto" w:w="0"/>
        <w:jc w:val="center"/>
        <w:tblLook w:firstColumn="1" w:firstRow="1" w:lastColumn="0" w:lastRow="0" w:noHBand="0" w:noVBand="1" w:val="04A0"/>
      </w:tblPr>
      <w:tblGrid>
        <w:gridCol w:w="4500"/>
        <w:gridCol w:w="4500"/>
      </w:tblGrid>
      <w:tr>
        <w:tc>
          <w:tcPr>
            <w:tcW w:type="dxa" w:w="3168"/>
          </w:tcPr>
          <w:p>
            <w:pPr>
              <w:jc w:val="center"/>
            </w:pPr>
            <w:r>
              <w:rPr>
                <w:rFonts w:ascii="Times New Roman" w:hAnsi="Times New Roman"/>
                <w:b/>
                <w:sz w:val="24"/>
              </w:rPr>
              <w:t>23BCI0218</w:t>
            </w:r>
          </w:p>
        </w:tc>
        <w:tc>
          <w:tcPr>
            <w:tcW w:type="dxa" w:w="4608"/>
          </w:tcPr>
          <w:p>
            <w:pPr>
              <w:jc w:val="center"/>
            </w:pPr>
            <w:r>
              <w:rPr>
                <w:rFonts w:ascii="Times New Roman" w:hAnsi="Times New Roman"/>
                <w:b/>
                <w:sz w:val="24"/>
              </w:rPr>
              <w:t>ASHISH ANIL SIKARIA</w:t>
            </w:r>
          </w:p>
        </w:tc>
      </w:tr>
    </w:tbl>
    <w:p>
      <w:pPr>
        <w:spacing w:before="360" w:after="80"/>
        <w:jc w:val="center"/>
      </w:pPr>
      <w:r>
        <w:rPr>
          <w:rFonts w:ascii="Times New Roman" w:hAnsi="Times New Roman"/>
          <w:b/>
          <w:sz w:val="24"/>
        </w:rPr>
        <w:t>Under the Supervision of:</w:t>
      </w:r>
    </w:p>
    <w:p>
      <w:pPr>
        <w:spacing w:line="312" w:lineRule="auto"/>
        <w:jc w:val="center"/>
      </w:pPr>
      <w:r>
        <w:rPr>
          <w:rFonts w:ascii="Times New Roman" w:hAnsi="Times New Roman"/>
          <w:b/>
          <w:sz w:val="24"/>
        </w:rPr>
        <w:t>Dr. SELVI M</w:t>
        <w:br/>
        <w:t>Associate Professor Grade 2</w:t>
        <w:br/>
        <w:t>School of Computer Science and Engineering (SCOPE)</w:t>
        <w:br/>
      </w:r>
    </w:p>
    <w:p>
      <w:pPr>
        <w:spacing w:before="360" w:line="312" w:lineRule="auto"/>
        <w:jc w:val="center"/>
      </w:pPr>
      <w:r>
        <w:rPr>
          <w:rFonts w:ascii="Times New Roman" w:hAnsi="Times New Roman"/>
          <w:b/>
          <w:sz w:val="24"/>
        </w:rPr>
        <w:t>School of Computer Science and Engineering</w:t>
        <w:br/>
        <w:t>VELLORE INSTITUTE OF TECHNOLOGY</w:t>
        <w:br/>
        <w:t>Vellore – 632014, Tamil Nadu, India</w:t>
        <w:br/>
        <w:t>September 2026</w:t>
      </w:r>
    </w:p>
    <w:p>
      <w:r>
        <w:br w:type="page"/>
      </w:r>
    </w:p>
    <w:p>
      <w:pPr>
        <w:keepNext/>
        <w:spacing w:before="360" w:after="160" w:line="360" w:lineRule="auto"/>
      </w:pPr>
      <w:r>
        <w:rPr>
          <w:rFonts w:ascii="Times New Roman" w:hAnsi="Times New Roman"/>
          <w:b/>
          <w:color w:val="1F4E79"/>
          <w:sz w:val="28"/>
        </w:rPr>
        <w:t>DECLARATION</w:t>
      </w:r>
    </w:p>
    <w:p>
      <w:pPr>
        <w:spacing w:line="276" w:lineRule="auto" w:after="120"/>
        <w:jc w:val="both"/>
      </w:pPr>
      <w:r>
        <w:rPr>
          <w:rFonts w:ascii="Times New Roman" w:hAnsi="Times New Roman"/>
          <w:color w:val="1E293B"/>
          <w:sz w:val="24"/>
        </w:rPr>
        <w:t>I, Ashish Anil Sikaria (Register Number: 23BCI0218), hereby declare that the project work entitled "CareChain: Decentralized Electronic Health Record Management using Blockchain and IPFS" submitted to the School of Computer Science and Engineering, Vellore Institute of Technology, Vellore, for the partial fulfillment of the requirements for the award of the degree of Bachelor of Technology in Computer Science and Engineering (Information Security) is a record of original work done by me under the supervision and guidance of Dr. Selvi M, Associate Professor Grade 2, School of Computer Science and Engineering (SCOPE), VIT Vellore.</w:t>
      </w:r>
    </w:p>
    <w:p>
      <w:pPr>
        <w:spacing w:line="276" w:lineRule="auto" w:after="120"/>
        <w:jc w:val="both"/>
      </w:pPr>
      <w:r>
        <w:rPr>
          <w:rFonts w:ascii="Times New Roman" w:hAnsi="Times New Roman"/>
          <w:color w:val="1E293B"/>
          <w:sz w:val="24"/>
        </w:rPr>
        <w:t>I further declare that this project work has not been submitted elsewhere for the award of any other degree, diploma, fellowship, or similar title to the best of my knowledge.</w:t>
      </w:r>
    </w:p>
    <w:p>
      <w:pPr>
        <w:spacing w:before="480" w:after="360"/>
      </w:pPr>
      <w:r>
        <w:rPr>
          <w:rFonts w:ascii="Times New Roman" w:hAnsi="Times New Roman"/>
          <w:b/>
          <w:sz w:val="24"/>
        </w:rPr>
        <w:t>Place: Vellore</w:t>
        <w:br/>
        <w:t>Date: 02-09-2026</w:t>
        <w:tab/>
        <w:tab/>
        <w:tab/>
        <w:tab/>
        <w:tab/>
        <w:tab/>
        <w:t>Ashish Anil Sikaria (23BCI0218)</w:t>
      </w:r>
    </w:p>
    <w:p>
      <w:pPr>
        <w:keepNext/>
        <w:spacing w:before="360" w:after="160" w:line="360" w:lineRule="auto"/>
      </w:pPr>
      <w:r>
        <w:rPr>
          <w:rFonts w:ascii="Times New Roman" w:hAnsi="Times New Roman"/>
          <w:b/>
          <w:color w:val="1F4E79"/>
          <w:sz w:val="28"/>
        </w:rPr>
        <w:t>CERTIFICATE</w:t>
      </w:r>
    </w:p>
    <w:p>
      <w:pPr>
        <w:spacing w:line="276" w:lineRule="auto" w:after="120"/>
        <w:jc w:val="both"/>
      </w:pPr>
      <w:r>
        <w:rPr>
          <w:rFonts w:ascii="Times New Roman" w:hAnsi="Times New Roman"/>
          <w:color w:val="1E293B"/>
          <w:sz w:val="24"/>
        </w:rPr>
        <w:t>This is to certify that the project report entitled "CareChain: Decentralized Electronic Health Record Management using Blockchain and IPFS", submitted by Ashish Anil Sikaria (23BCI0218) in partial fulfillment of the requirements for the course BCSE497J Project-I for the award of the degree of Bachelor of Technology in Computer Science and Engineering (Information Security), is a bonafide record of work carried out by him under my guidance and supervision.</w:t>
      </w:r>
    </w:p>
    <w:p>
      <w:pPr>
        <w:spacing w:before="720" w:after="360"/>
      </w:pPr>
      <w:r>
        <w:rPr>
          <w:rFonts w:ascii="Times New Roman" w:hAnsi="Times New Roman"/>
          <w:b/>
          <w:sz w:val="24"/>
        </w:rPr>
        <w:t>Dr. Selvi M</w:t>
        <w:br/>
        <w:t>Faculty Guide</w:t>
        <w:br/>
        <w:t>Associate Professor Grade 2, SCOPE</w:t>
        <w:br/>
        <w:t>Vellore Institute of Technology, Vellore</w:t>
      </w:r>
    </w:p>
    <w:p>
      <w:r>
        <w:br w:type="page"/>
      </w:r>
    </w:p>
    <w:p>
      <w:pPr>
        <w:keepNext/>
        <w:spacing w:before="360" w:after="160" w:line="360" w:lineRule="auto"/>
      </w:pPr>
      <w:r>
        <w:rPr>
          <w:rFonts w:ascii="Times New Roman" w:hAnsi="Times New Roman"/>
          <w:b/>
          <w:color w:val="1F4E79"/>
          <w:sz w:val="28"/>
        </w:rPr>
        <w:t>ABSTRACT</w:t>
      </w:r>
    </w:p>
    <w:p>
      <w:pPr>
        <w:spacing w:line="276" w:lineRule="auto" w:after="120"/>
        <w:jc w:val="both"/>
      </w:pPr>
      <w:r>
        <w:rPr>
          <w:rFonts w:ascii="Times New Roman" w:hAnsi="Times New Roman"/>
          <w:color w:val="1E293B"/>
          <w:sz w:val="24"/>
        </w:rPr>
        <w:t>The rapid digitization of the modern healthcare sector has led to exponential growth in the volume of Electronic Health Records (EHRs). However, contemporary healthcare infrastructures predominantly rely on centralized server repositories that constitute lucrative single points of failure. These centralized databases suffer from severe vulnerabilities, including catastrophic data breaches, ransomware extortion, unauthorized commercial exploitation of patient data without consent, and a critical lack of cross-institutional interoperability. Traditional access control models fail to provide patients with direct cryptographic sovereignty over their sensitive diagnostic records or offer tamper-evident auditing mechanisms.</w:t>
      </w:r>
    </w:p>
    <w:p>
      <w:pPr>
        <w:spacing w:line="276" w:lineRule="auto" w:after="120"/>
        <w:jc w:val="both"/>
      </w:pPr>
      <w:r>
        <w:rPr>
          <w:rFonts w:ascii="Times New Roman" w:hAnsi="Times New Roman"/>
          <w:color w:val="1E293B"/>
          <w:sz w:val="24"/>
        </w:rPr>
        <w:t>To overcome these challenges, this project presents CareChain, a secure, decentralized, patient-centric electronic health record management architecture. CareChain implements a zero-trust hybrid paradigm that decouples heavyweight encrypted data storage from lightweight on-chain access governance. All medical records, diagnostic imaging scans, and prescriptions are encrypted on the client side using symmetric AES-256-GCM before transmission. The resulting encrypted payloads are pinned across decentralized InterPlanetary File System (IPFS) nodes, generating immutable 46-byte Content Identifiers (CIDs). On-chain Ethereum/Polygon smart contracts (MedicalRecord.sol) maintain granular, dynamic patient-controlled access matrices (doctorPermissions) and verified medical practitioner registries, ensuring zero Protected Health Information (PHI) is ever exposed on the public blockchain.</w:t>
      </w:r>
    </w:p>
    <w:p>
      <w:pPr>
        <w:spacing w:line="276" w:lineRule="auto" w:after="120"/>
        <w:jc w:val="both"/>
      </w:pPr>
      <w:r>
        <w:rPr>
          <w:rFonts w:ascii="Times New Roman" w:hAnsi="Times New Roman"/>
          <w:color w:val="1E293B"/>
          <w:sz w:val="24"/>
        </w:rPr>
        <w:t>For the Review-2 milestone (~75% implementation completion), the core smart contracts have been thoroughly verified with 100% automated test coverage (11/11 Hardhat unit tests passing). The cryptographic gateway and Pinata IPFS pinning pipeline demonstrate sub-second encryption and retrieval latency. Responsive role-based portals for Patients, Doctors, and Hospital Administrators have been constructed with MetaMask Web3 wallet signing. CareChain successfully satisfies HIPAA Security Rule (§164.312) and GDPR Article 17 crypto-shredding compliance, providing an auditable, highly scalable foundation for sovereign healthcare data management.</w:t>
      </w:r>
    </w:p>
    <w:p>
      <w:pPr>
        <w:spacing w:before="240" w:after="240"/>
      </w:pPr>
      <w:r>
        <w:rPr>
          <w:rFonts w:ascii="Times New Roman" w:hAnsi="Times New Roman"/>
          <w:b/>
          <w:sz w:val="24"/>
        </w:rPr>
        <w:t xml:space="preserve">Keywords: </w:t>
      </w:r>
      <w:r>
        <w:rPr>
          <w:rFonts w:ascii="Times New Roman" w:hAnsi="Times New Roman"/>
          <w:sz w:val="24"/>
        </w:rPr>
        <w:t>Electronic Health Records (EHR), Blockchain, Ethereum Smart Contracts, InterPlanetary File System (IPFS), AES-256-GCM, Patient Data Sovereignty, Zero-Trust Architecture, HIPAA/GDPR Compliance.</w:t>
      </w:r>
    </w:p>
    <w:p>
      <w:r>
        <w:br w:type="page"/>
      </w:r>
    </w:p>
    <w:p>
      <w:pPr>
        <w:keepNext/>
        <w:spacing w:before="360" w:after="160" w:line="360" w:lineRule="auto"/>
      </w:pPr>
      <w:r>
        <w:rPr>
          <w:rFonts w:ascii="Times New Roman" w:hAnsi="Times New Roman"/>
          <w:b/>
          <w:color w:val="1F4E79"/>
          <w:sz w:val="28"/>
        </w:rPr>
        <w:t>TABLE OF CONTENTS</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500"/>
        <w:gridCol w:w="4500"/>
      </w:tblGrid>
      <w:tr>
        <w:tc>
          <w:tcPr>
            <w:tcW w:type="dxa" w:w="7488"/>
            <w:shd w:fill="F8FAFC"/>
          </w:tcPr>
          <w:p>
            <w:r>
              <w:rPr>
                <w:rFonts w:ascii="Times New Roman" w:hAnsi="Times New Roman"/>
                <w:b/>
                <w:sz w:val="24"/>
              </w:rPr>
              <w:t>Contents</w:t>
            </w:r>
          </w:p>
        </w:tc>
        <w:tc>
          <w:tcPr>
            <w:tcW w:type="dxa" w:w="1728"/>
            <w:shd w:fill="F8FAFC"/>
          </w:tcPr>
          <w:p>
            <w:pPr>
              <w:jc w:val="right"/>
            </w:pPr>
            <w:r>
              <w:rPr>
                <w:rFonts w:ascii="Times New Roman" w:hAnsi="Times New Roman"/>
                <w:b/>
                <w:sz w:val="24"/>
              </w:rPr>
              <w:t>Page No.</w:t>
            </w:r>
          </w:p>
        </w:tc>
      </w:tr>
      <w:tr>
        <w:tc>
          <w:tcPr>
            <w:tcW w:type="dxa" w:w="7488"/>
            <w:tcMar>
              <w:top w:w="60" w:type="dxa"/>
              <w:bottom w:w="60" w:type="dxa"/>
              <w:left w:w="150" w:type="dxa"/>
              <w:right w:w="150" w:type="dxa"/>
            </w:tcMar>
          </w:tcPr>
          <w:p>
            <w:r>
              <w:rPr>
                <w:rFonts w:ascii="Times New Roman" w:hAnsi="Times New Roman"/>
                <w:b/>
                <w:sz w:val="22"/>
              </w:rPr>
              <w:t>Abstract</w:t>
            </w:r>
          </w:p>
        </w:tc>
        <w:tc>
          <w:tcPr>
            <w:tcW w:type="dxa" w:w="1728"/>
            <w:tcMar>
              <w:top w:w="60" w:type="dxa"/>
              <w:bottom w:w="60" w:type="dxa"/>
              <w:left w:w="150" w:type="dxa"/>
              <w:right w:w="150" w:type="dxa"/>
            </w:tcMar>
          </w:tcPr>
          <w:p>
            <w:pPr>
              <w:jc w:val="right"/>
            </w:pPr>
            <w:r>
              <w:rPr>
                <w:rFonts w:ascii="Times New Roman" w:hAnsi="Times New Roman"/>
                <w:sz w:val="22"/>
              </w:rPr>
              <w:t>i</w:t>
            </w:r>
          </w:p>
        </w:tc>
      </w:tr>
      <w:tr>
        <w:tc>
          <w:tcPr>
            <w:tcW w:type="dxa" w:w="7488"/>
            <w:tcMar>
              <w:top w:w="60" w:type="dxa"/>
              <w:bottom w:w="60" w:type="dxa"/>
              <w:left w:w="150" w:type="dxa"/>
              <w:right w:w="150" w:type="dxa"/>
            </w:tcMar>
          </w:tcPr>
          <w:p>
            <w:r>
              <w:rPr>
                <w:rFonts w:ascii="Times New Roman" w:hAnsi="Times New Roman"/>
                <w:b/>
                <w:sz w:val="22"/>
              </w:rPr>
              <w:t>1. INTRODUCTION</w:t>
            </w:r>
          </w:p>
        </w:tc>
        <w:tc>
          <w:tcPr>
            <w:tcW w:type="dxa" w:w="1728"/>
            <w:tcMar>
              <w:top w:w="60" w:type="dxa"/>
              <w:bottom w:w="60" w:type="dxa"/>
              <w:left w:w="150" w:type="dxa"/>
              <w:right w:w="150" w:type="dxa"/>
            </w:tcMar>
          </w:tcPr>
          <w:p>
            <w:pPr>
              <w:jc w:val="right"/>
            </w:pPr>
            <w:r>
              <w:rPr>
                <w:rFonts w:ascii="Times New Roman" w:hAnsi="Times New Roman"/>
                <w:sz w:val="22"/>
              </w:rPr>
              <w:t>1</w:t>
            </w:r>
          </w:p>
        </w:tc>
      </w:tr>
      <w:tr>
        <w:tc>
          <w:tcPr>
            <w:tcW w:type="dxa" w:w="7488"/>
            <w:tcMar>
              <w:top w:w="60" w:type="dxa"/>
              <w:bottom w:w="60" w:type="dxa"/>
              <w:left w:w="150" w:type="dxa"/>
              <w:right w:w="150" w:type="dxa"/>
            </w:tcMar>
          </w:tcPr>
          <w:p>
            <w:r>
              <w:rPr>
                <w:rFonts w:ascii="Times New Roman" w:hAnsi="Times New Roman"/>
                <w:sz w:val="22"/>
              </w:rPr>
              <w:t xml:space="preserve">   1.1 Background</w:t>
            </w:r>
          </w:p>
        </w:tc>
        <w:tc>
          <w:tcPr>
            <w:tcW w:type="dxa" w:w="1728"/>
            <w:tcMar>
              <w:top w:w="60" w:type="dxa"/>
              <w:bottom w:w="60" w:type="dxa"/>
              <w:left w:w="150" w:type="dxa"/>
              <w:right w:w="150" w:type="dxa"/>
            </w:tcMar>
          </w:tcPr>
          <w:p>
            <w:pPr>
              <w:jc w:val="right"/>
            </w:pPr>
            <w:r>
              <w:rPr>
                <w:rFonts w:ascii="Times New Roman" w:hAnsi="Times New Roman"/>
                <w:sz w:val="22"/>
              </w:rPr>
              <w:t>1</w:t>
            </w:r>
          </w:p>
        </w:tc>
      </w:tr>
      <w:tr>
        <w:tc>
          <w:tcPr>
            <w:tcW w:type="dxa" w:w="7488"/>
            <w:tcMar>
              <w:top w:w="60" w:type="dxa"/>
              <w:bottom w:w="60" w:type="dxa"/>
              <w:left w:w="150" w:type="dxa"/>
              <w:right w:w="150" w:type="dxa"/>
            </w:tcMar>
          </w:tcPr>
          <w:p>
            <w:r>
              <w:rPr>
                <w:rFonts w:ascii="Times New Roman" w:hAnsi="Times New Roman"/>
                <w:sz w:val="22"/>
              </w:rPr>
              <w:t xml:space="preserve">   1.2 Motivation</w:t>
            </w:r>
          </w:p>
        </w:tc>
        <w:tc>
          <w:tcPr>
            <w:tcW w:type="dxa" w:w="1728"/>
            <w:tcMar>
              <w:top w:w="60" w:type="dxa"/>
              <w:bottom w:w="60" w:type="dxa"/>
              <w:left w:w="150" w:type="dxa"/>
              <w:right w:w="150" w:type="dxa"/>
            </w:tcMar>
          </w:tcPr>
          <w:p>
            <w:pPr>
              <w:jc w:val="right"/>
            </w:pPr>
            <w:r>
              <w:rPr>
                <w:rFonts w:ascii="Times New Roman" w:hAnsi="Times New Roman"/>
                <w:sz w:val="22"/>
              </w:rPr>
              <w:t>1</w:t>
            </w:r>
          </w:p>
        </w:tc>
      </w:tr>
      <w:tr>
        <w:tc>
          <w:tcPr>
            <w:tcW w:type="dxa" w:w="7488"/>
            <w:tcMar>
              <w:top w:w="60" w:type="dxa"/>
              <w:bottom w:w="60" w:type="dxa"/>
              <w:left w:w="150" w:type="dxa"/>
              <w:right w:w="150" w:type="dxa"/>
            </w:tcMar>
          </w:tcPr>
          <w:p>
            <w:r>
              <w:rPr>
                <w:rFonts w:ascii="Times New Roman" w:hAnsi="Times New Roman"/>
                <w:sz w:val="22"/>
              </w:rPr>
              <w:t xml:space="preserve">   1.3 Scope of the Project</w:t>
            </w:r>
          </w:p>
        </w:tc>
        <w:tc>
          <w:tcPr>
            <w:tcW w:type="dxa" w:w="1728"/>
            <w:tcMar>
              <w:top w:w="60" w:type="dxa"/>
              <w:bottom w:w="60" w:type="dxa"/>
              <w:left w:w="150" w:type="dxa"/>
              <w:right w:w="150" w:type="dxa"/>
            </w:tcMar>
          </w:tcPr>
          <w:p>
            <w:pPr>
              <w:jc w:val="right"/>
            </w:pPr>
            <w:r>
              <w:rPr>
                <w:rFonts w:ascii="Times New Roman" w:hAnsi="Times New Roman"/>
                <w:sz w:val="22"/>
              </w:rPr>
              <w:t>2</w:t>
            </w:r>
          </w:p>
        </w:tc>
      </w:tr>
      <w:tr>
        <w:tc>
          <w:tcPr>
            <w:tcW w:type="dxa" w:w="7488"/>
            <w:tcMar>
              <w:top w:w="60" w:type="dxa"/>
              <w:bottom w:w="60" w:type="dxa"/>
              <w:left w:w="150" w:type="dxa"/>
              <w:right w:w="150" w:type="dxa"/>
            </w:tcMar>
          </w:tcPr>
          <w:p>
            <w:r>
              <w:rPr>
                <w:rFonts w:ascii="Times New Roman" w:hAnsi="Times New Roman"/>
                <w:b/>
                <w:sz w:val="22"/>
              </w:rPr>
              <w:t>2. PROJECT DESCRIPTION AND GOALS</w:t>
            </w:r>
          </w:p>
        </w:tc>
        <w:tc>
          <w:tcPr>
            <w:tcW w:type="dxa" w:w="1728"/>
            <w:tcMar>
              <w:top w:w="60" w:type="dxa"/>
              <w:bottom w:w="60" w:type="dxa"/>
              <w:left w:w="150" w:type="dxa"/>
              <w:right w:w="150" w:type="dxa"/>
            </w:tcMar>
          </w:tcPr>
          <w:p>
            <w:pPr>
              <w:jc w:val="right"/>
            </w:pPr>
            <w:r>
              <w:rPr>
                <w:rFonts w:ascii="Times New Roman" w:hAnsi="Times New Roman"/>
                <w:sz w:val="22"/>
              </w:rPr>
              <w:t>3</w:t>
            </w:r>
          </w:p>
        </w:tc>
      </w:tr>
      <w:tr>
        <w:tc>
          <w:tcPr>
            <w:tcW w:type="dxa" w:w="7488"/>
            <w:tcMar>
              <w:top w:w="60" w:type="dxa"/>
              <w:bottom w:w="60" w:type="dxa"/>
              <w:left w:w="150" w:type="dxa"/>
              <w:right w:w="150" w:type="dxa"/>
            </w:tcMar>
          </w:tcPr>
          <w:p>
            <w:r>
              <w:rPr>
                <w:rFonts w:ascii="Times New Roman" w:hAnsi="Times New Roman"/>
                <w:sz w:val="22"/>
              </w:rPr>
              <w:t xml:space="preserve">   2.1 Literature Review</w:t>
            </w:r>
          </w:p>
        </w:tc>
        <w:tc>
          <w:tcPr>
            <w:tcW w:type="dxa" w:w="1728"/>
            <w:tcMar>
              <w:top w:w="60" w:type="dxa"/>
              <w:bottom w:w="60" w:type="dxa"/>
              <w:left w:w="150" w:type="dxa"/>
              <w:right w:w="150" w:type="dxa"/>
            </w:tcMar>
          </w:tcPr>
          <w:p>
            <w:pPr>
              <w:jc w:val="right"/>
            </w:pPr>
            <w:r>
              <w:rPr>
                <w:rFonts w:ascii="Times New Roman" w:hAnsi="Times New Roman"/>
                <w:sz w:val="22"/>
              </w:rPr>
              <w:t>3</w:t>
            </w:r>
          </w:p>
        </w:tc>
      </w:tr>
      <w:tr>
        <w:tc>
          <w:tcPr>
            <w:tcW w:type="dxa" w:w="7488"/>
            <w:tcMar>
              <w:top w:w="60" w:type="dxa"/>
              <w:bottom w:w="60" w:type="dxa"/>
              <w:left w:w="150" w:type="dxa"/>
              <w:right w:w="150" w:type="dxa"/>
            </w:tcMar>
          </w:tcPr>
          <w:p>
            <w:r>
              <w:rPr>
                <w:rFonts w:ascii="Times New Roman" w:hAnsi="Times New Roman"/>
                <w:sz w:val="22"/>
              </w:rPr>
              <w:t xml:space="preserve">   2.2 Research Gap</w:t>
            </w:r>
          </w:p>
        </w:tc>
        <w:tc>
          <w:tcPr>
            <w:tcW w:type="dxa" w:w="1728"/>
            <w:tcMar>
              <w:top w:w="60" w:type="dxa"/>
              <w:bottom w:w="60" w:type="dxa"/>
              <w:left w:w="150" w:type="dxa"/>
              <w:right w:w="150" w:type="dxa"/>
            </w:tcMar>
          </w:tcPr>
          <w:p>
            <w:pPr>
              <w:jc w:val="right"/>
            </w:pPr>
            <w:r>
              <w:rPr>
                <w:rFonts w:ascii="Times New Roman" w:hAnsi="Times New Roman"/>
                <w:sz w:val="22"/>
              </w:rPr>
              <w:t>5</w:t>
            </w:r>
          </w:p>
        </w:tc>
      </w:tr>
      <w:tr>
        <w:tc>
          <w:tcPr>
            <w:tcW w:type="dxa" w:w="7488"/>
            <w:tcMar>
              <w:top w:w="60" w:type="dxa"/>
              <w:bottom w:w="60" w:type="dxa"/>
              <w:left w:w="150" w:type="dxa"/>
              <w:right w:w="150" w:type="dxa"/>
            </w:tcMar>
          </w:tcPr>
          <w:p>
            <w:r>
              <w:rPr>
                <w:rFonts w:ascii="Times New Roman" w:hAnsi="Times New Roman"/>
                <w:sz w:val="22"/>
              </w:rPr>
              <w:t xml:space="preserve">   2.3 Objectives</w:t>
            </w:r>
          </w:p>
        </w:tc>
        <w:tc>
          <w:tcPr>
            <w:tcW w:type="dxa" w:w="1728"/>
            <w:tcMar>
              <w:top w:w="60" w:type="dxa"/>
              <w:bottom w:w="60" w:type="dxa"/>
              <w:left w:w="150" w:type="dxa"/>
              <w:right w:w="150" w:type="dxa"/>
            </w:tcMar>
          </w:tcPr>
          <w:p>
            <w:pPr>
              <w:jc w:val="right"/>
            </w:pPr>
            <w:r>
              <w:rPr>
                <w:rFonts w:ascii="Times New Roman" w:hAnsi="Times New Roman"/>
                <w:sz w:val="22"/>
              </w:rPr>
              <w:t>6</w:t>
            </w:r>
          </w:p>
        </w:tc>
      </w:tr>
      <w:tr>
        <w:tc>
          <w:tcPr>
            <w:tcW w:type="dxa" w:w="7488"/>
            <w:tcMar>
              <w:top w:w="60" w:type="dxa"/>
              <w:bottom w:w="60" w:type="dxa"/>
              <w:left w:w="150" w:type="dxa"/>
              <w:right w:w="150" w:type="dxa"/>
            </w:tcMar>
          </w:tcPr>
          <w:p>
            <w:r>
              <w:rPr>
                <w:rFonts w:ascii="Times New Roman" w:hAnsi="Times New Roman"/>
                <w:sz w:val="22"/>
              </w:rPr>
              <w:t xml:space="preserve">   2.4 Problem Statement</w:t>
            </w:r>
          </w:p>
        </w:tc>
        <w:tc>
          <w:tcPr>
            <w:tcW w:type="dxa" w:w="1728"/>
            <w:tcMar>
              <w:top w:w="60" w:type="dxa"/>
              <w:bottom w:w="60" w:type="dxa"/>
              <w:left w:w="150" w:type="dxa"/>
              <w:right w:w="150" w:type="dxa"/>
            </w:tcMar>
          </w:tcPr>
          <w:p>
            <w:pPr>
              <w:jc w:val="right"/>
            </w:pPr>
            <w:r>
              <w:rPr>
                <w:rFonts w:ascii="Times New Roman" w:hAnsi="Times New Roman"/>
                <w:sz w:val="22"/>
              </w:rPr>
              <w:t>6</w:t>
            </w:r>
          </w:p>
        </w:tc>
      </w:tr>
      <w:tr>
        <w:tc>
          <w:tcPr>
            <w:tcW w:type="dxa" w:w="7488"/>
            <w:tcMar>
              <w:top w:w="60" w:type="dxa"/>
              <w:bottom w:w="60" w:type="dxa"/>
              <w:left w:w="150" w:type="dxa"/>
              <w:right w:w="150" w:type="dxa"/>
            </w:tcMar>
          </w:tcPr>
          <w:p>
            <w:r>
              <w:rPr>
                <w:rFonts w:ascii="Times New Roman" w:hAnsi="Times New Roman"/>
                <w:sz w:val="22"/>
              </w:rPr>
              <w:t xml:space="preserve">   2.5 Project Plan</w:t>
            </w:r>
          </w:p>
        </w:tc>
        <w:tc>
          <w:tcPr>
            <w:tcW w:type="dxa" w:w="1728"/>
            <w:tcMar>
              <w:top w:w="60" w:type="dxa"/>
              <w:bottom w:w="60" w:type="dxa"/>
              <w:left w:w="150" w:type="dxa"/>
              <w:right w:w="150" w:type="dxa"/>
            </w:tcMar>
          </w:tcPr>
          <w:p>
            <w:pPr>
              <w:jc w:val="right"/>
            </w:pPr>
            <w:r>
              <w:rPr>
                <w:rFonts w:ascii="Times New Roman" w:hAnsi="Times New Roman"/>
                <w:sz w:val="22"/>
              </w:rPr>
              <w:t>7</w:t>
            </w:r>
          </w:p>
        </w:tc>
      </w:tr>
      <w:tr>
        <w:tc>
          <w:tcPr>
            <w:tcW w:type="dxa" w:w="7488"/>
            <w:tcMar>
              <w:top w:w="60" w:type="dxa"/>
              <w:bottom w:w="60" w:type="dxa"/>
              <w:left w:w="150" w:type="dxa"/>
              <w:right w:w="150" w:type="dxa"/>
            </w:tcMar>
          </w:tcPr>
          <w:p>
            <w:r>
              <w:rPr>
                <w:rFonts w:ascii="Times New Roman" w:hAnsi="Times New Roman"/>
                <w:b/>
                <w:sz w:val="22"/>
              </w:rPr>
              <w:t>3. TECHNICAL SPECIFICATION</w:t>
            </w:r>
          </w:p>
        </w:tc>
        <w:tc>
          <w:tcPr>
            <w:tcW w:type="dxa" w:w="1728"/>
            <w:tcMar>
              <w:top w:w="60" w:type="dxa"/>
              <w:bottom w:w="60" w:type="dxa"/>
              <w:left w:w="150" w:type="dxa"/>
              <w:right w:w="150" w:type="dxa"/>
            </w:tcMar>
          </w:tcPr>
          <w:p>
            <w:pPr>
              <w:jc w:val="right"/>
            </w:pPr>
            <w:r>
              <w:rPr>
                <w:rFonts w:ascii="Times New Roman" w:hAnsi="Times New Roman"/>
                <w:sz w:val="22"/>
              </w:rPr>
              <w:t>8</w:t>
            </w:r>
          </w:p>
        </w:tc>
      </w:tr>
      <w:tr>
        <w:tc>
          <w:tcPr>
            <w:tcW w:type="dxa" w:w="7488"/>
            <w:tcMar>
              <w:top w:w="60" w:type="dxa"/>
              <w:bottom w:w="60" w:type="dxa"/>
              <w:left w:w="150" w:type="dxa"/>
              <w:right w:w="150" w:type="dxa"/>
            </w:tcMar>
          </w:tcPr>
          <w:p>
            <w:r>
              <w:rPr>
                <w:rFonts w:ascii="Times New Roman" w:hAnsi="Times New Roman"/>
                <w:sz w:val="22"/>
              </w:rPr>
              <w:t xml:space="preserve">   3.1 Requirements</w:t>
            </w:r>
          </w:p>
        </w:tc>
        <w:tc>
          <w:tcPr>
            <w:tcW w:type="dxa" w:w="1728"/>
            <w:tcMar>
              <w:top w:w="60" w:type="dxa"/>
              <w:bottom w:w="60" w:type="dxa"/>
              <w:left w:w="150" w:type="dxa"/>
              <w:right w:w="150" w:type="dxa"/>
            </w:tcMar>
          </w:tcPr>
          <w:p>
            <w:pPr>
              <w:jc w:val="right"/>
            </w:pPr>
            <w:r>
              <w:rPr>
                <w:rFonts w:ascii="Times New Roman" w:hAnsi="Times New Roman"/>
                <w:sz w:val="22"/>
              </w:rPr>
              <w:t>8</w:t>
            </w:r>
          </w:p>
        </w:tc>
      </w:tr>
      <w:tr>
        <w:tc>
          <w:tcPr>
            <w:tcW w:type="dxa" w:w="7488"/>
            <w:tcMar>
              <w:top w:w="60" w:type="dxa"/>
              <w:bottom w:w="60" w:type="dxa"/>
              <w:left w:w="150" w:type="dxa"/>
              <w:right w:w="150" w:type="dxa"/>
            </w:tcMar>
          </w:tcPr>
          <w:p>
            <w:r>
              <w:rPr>
                <w:rFonts w:ascii="Times New Roman" w:hAnsi="Times New Roman"/>
                <w:sz w:val="22"/>
              </w:rPr>
              <w:t xml:space="preserve">       3.1.1 Functional Requirements</w:t>
            </w:r>
          </w:p>
        </w:tc>
        <w:tc>
          <w:tcPr>
            <w:tcW w:type="dxa" w:w="1728"/>
            <w:tcMar>
              <w:top w:w="60" w:type="dxa"/>
              <w:bottom w:w="60" w:type="dxa"/>
              <w:left w:w="150" w:type="dxa"/>
              <w:right w:w="150" w:type="dxa"/>
            </w:tcMar>
          </w:tcPr>
          <w:p>
            <w:pPr>
              <w:jc w:val="right"/>
            </w:pPr>
            <w:r>
              <w:rPr>
                <w:rFonts w:ascii="Times New Roman" w:hAnsi="Times New Roman"/>
                <w:sz w:val="22"/>
              </w:rPr>
              <w:t>8</w:t>
            </w:r>
          </w:p>
        </w:tc>
      </w:tr>
      <w:tr>
        <w:tc>
          <w:tcPr>
            <w:tcW w:type="dxa" w:w="7488"/>
            <w:tcMar>
              <w:top w:w="60" w:type="dxa"/>
              <w:bottom w:w="60" w:type="dxa"/>
              <w:left w:w="150" w:type="dxa"/>
              <w:right w:w="150" w:type="dxa"/>
            </w:tcMar>
          </w:tcPr>
          <w:p>
            <w:r>
              <w:rPr>
                <w:rFonts w:ascii="Times New Roman" w:hAnsi="Times New Roman"/>
                <w:sz w:val="22"/>
              </w:rPr>
              <w:t xml:space="preserve">       3.1.2 Non-Functional Requirements</w:t>
            </w:r>
          </w:p>
        </w:tc>
        <w:tc>
          <w:tcPr>
            <w:tcW w:type="dxa" w:w="1728"/>
            <w:tcMar>
              <w:top w:w="60" w:type="dxa"/>
              <w:bottom w:w="60" w:type="dxa"/>
              <w:left w:w="150" w:type="dxa"/>
              <w:right w:w="150" w:type="dxa"/>
            </w:tcMar>
          </w:tcPr>
          <w:p>
            <w:pPr>
              <w:jc w:val="right"/>
            </w:pPr>
            <w:r>
              <w:rPr>
                <w:rFonts w:ascii="Times New Roman" w:hAnsi="Times New Roman"/>
                <w:sz w:val="22"/>
              </w:rPr>
              <w:t>9</w:t>
            </w:r>
          </w:p>
        </w:tc>
      </w:tr>
      <w:tr>
        <w:tc>
          <w:tcPr>
            <w:tcW w:type="dxa" w:w="7488"/>
            <w:tcMar>
              <w:top w:w="60" w:type="dxa"/>
              <w:bottom w:w="60" w:type="dxa"/>
              <w:left w:w="150" w:type="dxa"/>
              <w:right w:w="150" w:type="dxa"/>
            </w:tcMar>
          </w:tcPr>
          <w:p>
            <w:r>
              <w:rPr>
                <w:rFonts w:ascii="Times New Roman" w:hAnsi="Times New Roman"/>
                <w:sz w:val="22"/>
              </w:rPr>
              <w:t xml:space="preserve">   3.2 Feasibility Study</w:t>
            </w:r>
          </w:p>
        </w:tc>
        <w:tc>
          <w:tcPr>
            <w:tcW w:type="dxa" w:w="1728"/>
            <w:tcMar>
              <w:top w:w="60" w:type="dxa"/>
              <w:bottom w:w="60" w:type="dxa"/>
              <w:left w:w="150" w:type="dxa"/>
              <w:right w:w="150" w:type="dxa"/>
            </w:tcMar>
          </w:tcPr>
          <w:p>
            <w:pPr>
              <w:jc w:val="right"/>
            </w:pPr>
            <w:r>
              <w:rPr>
                <w:rFonts w:ascii="Times New Roman" w:hAnsi="Times New Roman"/>
                <w:sz w:val="22"/>
              </w:rPr>
              <w:t>9</w:t>
            </w:r>
          </w:p>
        </w:tc>
      </w:tr>
      <w:tr>
        <w:tc>
          <w:tcPr>
            <w:tcW w:type="dxa" w:w="7488"/>
            <w:tcMar>
              <w:top w:w="60" w:type="dxa"/>
              <w:bottom w:w="60" w:type="dxa"/>
              <w:left w:w="150" w:type="dxa"/>
              <w:right w:w="150" w:type="dxa"/>
            </w:tcMar>
          </w:tcPr>
          <w:p>
            <w:r>
              <w:rPr>
                <w:rFonts w:ascii="Times New Roman" w:hAnsi="Times New Roman"/>
                <w:sz w:val="22"/>
              </w:rPr>
              <w:t xml:space="preserve">       3.2.1 Technical Feasibility</w:t>
            </w:r>
          </w:p>
        </w:tc>
        <w:tc>
          <w:tcPr>
            <w:tcW w:type="dxa" w:w="1728"/>
            <w:tcMar>
              <w:top w:w="60" w:type="dxa"/>
              <w:bottom w:w="60" w:type="dxa"/>
              <w:left w:w="150" w:type="dxa"/>
              <w:right w:w="150" w:type="dxa"/>
            </w:tcMar>
          </w:tcPr>
          <w:p>
            <w:pPr>
              <w:jc w:val="right"/>
            </w:pPr>
            <w:r>
              <w:rPr>
                <w:rFonts w:ascii="Times New Roman" w:hAnsi="Times New Roman"/>
                <w:sz w:val="22"/>
              </w:rPr>
              <w:t>9</w:t>
            </w:r>
          </w:p>
        </w:tc>
      </w:tr>
      <w:tr>
        <w:tc>
          <w:tcPr>
            <w:tcW w:type="dxa" w:w="7488"/>
            <w:tcMar>
              <w:top w:w="60" w:type="dxa"/>
              <w:bottom w:w="60" w:type="dxa"/>
              <w:left w:w="150" w:type="dxa"/>
              <w:right w:w="150" w:type="dxa"/>
            </w:tcMar>
          </w:tcPr>
          <w:p>
            <w:r>
              <w:rPr>
                <w:rFonts w:ascii="Times New Roman" w:hAnsi="Times New Roman"/>
                <w:sz w:val="22"/>
              </w:rPr>
              <w:t xml:space="preserve">       3.2.2 Economic Feasibility</w:t>
            </w:r>
          </w:p>
        </w:tc>
        <w:tc>
          <w:tcPr>
            <w:tcW w:type="dxa" w:w="1728"/>
            <w:tcMar>
              <w:top w:w="60" w:type="dxa"/>
              <w:bottom w:w="60" w:type="dxa"/>
              <w:left w:w="150" w:type="dxa"/>
              <w:right w:w="150" w:type="dxa"/>
            </w:tcMar>
          </w:tcPr>
          <w:p>
            <w:pPr>
              <w:jc w:val="right"/>
            </w:pPr>
            <w:r>
              <w:rPr>
                <w:rFonts w:ascii="Times New Roman" w:hAnsi="Times New Roman"/>
                <w:sz w:val="22"/>
              </w:rPr>
              <w:t>10</w:t>
            </w:r>
          </w:p>
        </w:tc>
      </w:tr>
      <w:tr>
        <w:tc>
          <w:tcPr>
            <w:tcW w:type="dxa" w:w="7488"/>
            <w:tcMar>
              <w:top w:w="60" w:type="dxa"/>
              <w:bottom w:w="60" w:type="dxa"/>
              <w:left w:w="150" w:type="dxa"/>
              <w:right w:w="150" w:type="dxa"/>
            </w:tcMar>
          </w:tcPr>
          <w:p>
            <w:r>
              <w:rPr>
                <w:rFonts w:ascii="Times New Roman" w:hAnsi="Times New Roman"/>
                <w:sz w:val="22"/>
              </w:rPr>
              <w:t xml:space="preserve">       3.2.3 Social &amp; Regulatory Feasibility</w:t>
            </w:r>
          </w:p>
        </w:tc>
        <w:tc>
          <w:tcPr>
            <w:tcW w:type="dxa" w:w="1728"/>
            <w:tcMar>
              <w:top w:w="60" w:type="dxa"/>
              <w:bottom w:w="60" w:type="dxa"/>
              <w:left w:w="150" w:type="dxa"/>
              <w:right w:w="150" w:type="dxa"/>
            </w:tcMar>
          </w:tcPr>
          <w:p>
            <w:pPr>
              <w:jc w:val="right"/>
            </w:pPr>
            <w:r>
              <w:rPr>
                <w:rFonts w:ascii="Times New Roman" w:hAnsi="Times New Roman"/>
                <w:sz w:val="22"/>
              </w:rPr>
              <w:t>10</w:t>
            </w:r>
          </w:p>
        </w:tc>
      </w:tr>
      <w:tr>
        <w:tc>
          <w:tcPr>
            <w:tcW w:type="dxa" w:w="7488"/>
            <w:tcMar>
              <w:top w:w="60" w:type="dxa"/>
              <w:bottom w:w="60" w:type="dxa"/>
              <w:left w:w="150" w:type="dxa"/>
              <w:right w:w="150" w:type="dxa"/>
            </w:tcMar>
          </w:tcPr>
          <w:p>
            <w:r>
              <w:rPr>
                <w:rFonts w:ascii="Times New Roman" w:hAnsi="Times New Roman"/>
                <w:sz w:val="22"/>
              </w:rPr>
              <w:t xml:space="preserve">   3.3 System Specification</w:t>
            </w:r>
          </w:p>
        </w:tc>
        <w:tc>
          <w:tcPr>
            <w:tcW w:type="dxa" w:w="1728"/>
            <w:tcMar>
              <w:top w:w="60" w:type="dxa"/>
              <w:bottom w:w="60" w:type="dxa"/>
              <w:left w:w="150" w:type="dxa"/>
              <w:right w:w="150" w:type="dxa"/>
            </w:tcMar>
          </w:tcPr>
          <w:p>
            <w:pPr>
              <w:jc w:val="right"/>
            </w:pPr>
            <w:r>
              <w:rPr>
                <w:rFonts w:ascii="Times New Roman" w:hAnsi="Times New Roman"/>
                <w:sz w:val="22"/>
              </w:rPr>
              <w:t>11</w:t>
            </w:r>
          </w:p>
        </w:tc>
      </w:tr>
      <w:tr>
        <w:tc>
          <w:tcPr>
            <w:tcW w:type="dxa" w:w="7488"/>
            <w:tcMar>
              <w:top w:w="60" w:type="dxa"/>
              <w:bottom w:w="60" w:type="dxa"/>
              <w:left w:w="150" w:type="dxa"/>
              <w:right w:w="150" w:type="dxa"/>
            </w:tcMar>
          </w:tcPr>
          <w:p>
            <w:r>
              <w:rPr>
                <w:rFonts w:ascii="Times New Roman" w:hAnsi="Times New Roman"/>
                <w:sz w:val="22"/>
              </w:rPr>
              <w:t xml:space="preserve">       3.3.1 Hardware Specification</w:t>
            </w:r>
          </w:p>
        </w:tc>
        <w:tc>
          <w:tcPr>
            <w:tcW w:type="dxa" w:w="1728"/>
            <w:tcMar>
              <w:top w:w="60" w:type="dxa"/>
              <w:bottom w:w="60" w:type="dxa"/>
              <w:left w:w="150" w:type="dxa"/>
              <w:right w:w="150" w:type="dxa"/>
            </w:tcMar>
          </w:tcPr>
          <w:p>
            <w:pPr>
              <w:jc w:val="right"/>
            </w:pPr>
            <w:r>
              <w:rPr>
                <w:rFonts w:ascii="Times New Roman" w:hAnsi="Times New Roman"/>
                <w:sz w:val="22"/>
              </w:rPr>
              <w:t>11</w:t>
            </w:r>
          </w:p>
        </w:tc>
      </w:tr>
      <w:tr>
        <w:tc>
          <w:tcPr>
            <w:tcW w:type="dxa" w:w="7488"/>
            <w:tcMar>
              <w:top w:w="60" w:type="dxa"/>
              <w:bottom w:w="60" w:type="dxa"/>
              <w:left w:w="150" w:type="dxa"/>
              <w:right w:w="150" w:type="dxa"/>
            </w:tcMar>
          </w:tcPr>
          <w:p>
            <w:r>
              <w:rPr>
                <w:rFonts w:ascii="Times New Roman" w:hAnsi="Times New Roman"/>
                <w:sz w:val="22"/>
              </w:rPr>
              <w:t xml:space="preserve">       3.3.2 Software Specification</w:t>
            </w:r>
          </w:p>
        </w:tc>
        <w:tc>
          <w:tcPr>
            <w:tcW w:type="dxa" w:w="1728"/>
            <w:tcMar>
              <w:top w:w="60" w:type="dxa"/>
              <w:bottom w:w="60" w:type="dxa"/>
              <w:left w:w="150" w:type="dxa"/>
              <w:right w:w="150" w:type="dxa"/>
            </w:tcMar>
          </w:tcPr>
          <w:p>
            <w:pPr>
              <w:jc w:val="right"/>
            </w:pPr>
            <w:r>
              <w:rPr>
                <w:rFonts w:ascii="Times New Roman" w:hAnsi="Times New Roman"/>
                <w:sz w:val="22"/>
              </w:rPr>
              <w:t>11</w:t>
            </w:r>
          </w:p>
        </w:tc>
      </w:tr>
      <w:tr>
        <w:tc>
          <w:tcPr>
            <w:tcW w:type="dxa" w:w="7488"/>
            <w:tcMar>
              <w:top w:w="60" w:type="dxa"/>
              <w:bottom w:w="60" w:type="dxa"/>
              <w:left w:w="150" w:type="dxa"/>
              <w:right w:w="150" w:type="dxa"/>
            </w:tcMar>
          </w:tcPr>
          <w:p>
            <w:r>
              <w:rPr>
                <w:rFonts w:ascii="Times New Roman" w:hAnsi="Times New Roman"/>
                <w:b/>
                <w:sz w:val="22"/>
              </w:rPr>
              <w:t>4. DESIGN APPROACH AND DETAILS</w:t>
            </w:r>
          </w:p>
        </w:tc>
        <w:tc>
          <w:tcPr>
            <w:tcW w:type="dxa" w:w="1728"/>
            <w:tcMar>
              <w:top w:w="60" w:type="dxa"/>
              <w:bottom w:w="60" w:type="dxa"/>
              <w:left w:w="150" w:type="dxa"/>
              <w:right w:w="150" w:type="dxa"/>
            </w:tcMar>
          </w:tcPr>
          <w:p>
            <w:pPr>
              <w:jc w:val="right"/>
            </w:pPr>
            <w:r>
              <w:rPr>
                <w:rFonts w:ascii="Times New Roman" w:hAnsi="Times New Roman"/>
                <w:sz w:val="22"/>
              </w:rPr>
              <w:t>12</w:t>
            </w:r>
          </w:p>
        </w:tc>
      </w:tr>
      <w:tr>
        <w:tc>
          <w:tcPr>
            <w:tcW w:type="dxa" w:w="7488"/>
            <w:tcMar>
              <w:top w:w="60" w:type="dxa"/>
              <w:bottom w:w="60" w:type="dxa"/>
              <w:left w:w="150" w:type="dxa"/>
              <w:right w:w="150" w:type="dxa"/>
            </w:tcMar>
          </w:tcPr>
          <w:p>
            <w:r>
              <w:rPr>
                <w:rFonts w:ascii="Times New Roman" w:hAnsi="Times New Roman"/>
                <w:sz w:val="22"/>
              </w:rPr>
              <w:t xml:space="preserve">   4.1 System Architecture</w:t>
            </w:r>
          </w:p>
        </w:tc>
        <w:tc>
          <w:tcPr>
            <w:tcW w:type="dxa" w:w="1728"/>
            <w:tcMar>
              <w:top w:w="60" w:type="dxa"/>
              <w:bottom w:w="60" w:type="dxa"/>
              <w:left w:w="150" w:type="dxa"/>
              <w:right w:w="150" w:type="dxa"/>
            </w:tcMar>
          </w:tcPr>
          <w:p>
            <w:pPr>
              <w:jc w:val="right"/>
            </w:pPr>
            <w:r>
              <w:rPr>
                <w:rFonts w:ascii="Times New Roman" w:hAnsi="Times New Roman"/>
                <w:sz w:val="22"/>
              </w:rPr>
              <w:t>12</w:t>
            </w:r>
          </w:p>
        </w:tc>
      </w:tr>
      <w:tr>
        <w:tc>
          <w:tcPr>
            <w:tcW w:type="dxa" w:w="7488"/>
            <w:tcMar>
              <w:top w:w="60" w:type="dxa"/>
              <w:bottom w:w="60" w:type="dxa"/>
              <w:left w:w="150" w:type="dxa"/>
              <w:right w:w="150" w:type="dxa"/>
            </w:tcMar>
          </w:tcPr>
          <w:p>
            <w:r>
              <w:rPr>
                <w:rFonts w:ascii="Times New Roman" w:hAnsi="Times New Roman"/>
                <w:sz w:val="22"/>
              </w:rPr>
              <w:t xml:space="preserve">   4.2 Detailed Design</w:t>
            </w:r>
          </w:p>
        </w:tc>
        <w:tc>
          <w:tcPr>
            <w:tcW w:type="dxa" w:w="1728"/>
            <w:tcMar>
              <w:top w:w="60" w:type="dxa"/>
              <w:bottom w:w="60" w:type="dxa"/>
              <w:left w:w="150" w:type="dxa"/>
              <w:right w:w="150" w:type="dxa"/>
            </w:tcMar>
          </w:tcPr>
          <w:p>
            <w:pPr>
              <w:jc w:val="right"/>
            </w:pPr>
            <w:r>
              <w:rPr>
                <w:rFonts w:ascii="Times New Roman" w:hAnsi="Times New Roman"/>
                <w:sz w:val="22"/>
              </w:rPr>
              <w:t>13</w:t>
            </w:r>
          </w:p>
        </w:tc>
      </w:tr>
      <w:tr>
        <w:tc>
          <w:tcPr>
            <w:tcW w:type="dxa" w:w="7488"/>
            <w:tcMar>
              <w:top w:w="60" w:type="dxa"/>
              <w:bottom w:w="60" w:type="dxa"/>
              <w:left w:w="150" w:type="dxa"/>
              <w:right w:w="150" w:type="dxa"/>
            </w:tcMar>
          </w:tcPr>
          <w:p>
            <w:r>
              <w:rPr>
                <w:rFonts w:ascii="Times New Roman" w:hAnsi="Times New Roman"/>
                <w:sz w:val="22"/>
              </w:rPr>
              <w:t xml:space="preserve">       4.2.1 Data Flow Diagrams (Level 0 &amp; Level 1)</w:t>
            </w:r>
          </w:p>
        </w:tc>
        <w:tc>
          <w:tcPr>
            <w:tcW w:type="dxa" w:w="1728"/>
            <w:tcMar>
              <w:top w:w="60" w:type="dxa"/>
              <w:bottom w:w="60" w:type="dxa"/>
              <w:left w:w="150" w:type="dxa"/>
              <w:right w:w="150" w:type="dxa"/>
            </w:tcMar>
          </w:tcPr>
          <w:p>
            <w:pPr>
              <w:jc w:val="right"/>
            </w:pPr>
            <w:r>
              <w:rPr>
                <w:rFonts w:ascii="Times New Roman" w:hAnsi="Times New Roman"/>
                <w:sz w:val="22"/>
              </w:rPr>
              <w:t>13</w:t>
            </w:r>
          </w:p>
        </w:tc>
      </w:tr>
      <w:tr>
        <w:tc>
          <w:tcPr>
            <w:tcW w:type="dxa" w:w="7488"/>
            <w:tcMar>
              <w:top w:w="60" w:type="dxa"/>
              <w:bottom w:w="60" w:type="dxa"/>
              <w:left w:w="150" w:type="dxa"/>
              <w:right w:w="150" w:type="dxa"/>
            </w:tcMar>
          </w:tcPr>
          <w:p>
            <w:r>
              <w:rPr>
                <w:rFonts w:ascii="Times New Roman" w:hAnsi="Times New Roman"/>
                <w:sz w:val="22"/>
              </w:rPr>
              <w:t xml:space="preserve">       4.2.2 Use Case Diagram</w:t>
            </w:r>
          </w:p>
        </w:tc>
        <w:tc>
          <w:tcPr>
            <w:tcW w:type="dxa" w:w="1728"/>
            <w:tcMar>
              <w:top w:w="60" w:type="dxa"/>
              <w:bottom w:w="60" w:type="dxa"/>
              <w:left w:w="150" w:type="dxa"/>
              <w:right w:w="150" w:type="dxa"/>
            </w:tcMar>
          </w:tcPr>
          <w:p>
            <w:pPr>
              <w:jc w:val="right"/>
            </w:pPr>
            <w:r>
              <w:rPr>
                <w:rFonts w:ascii="Times New Roman" w:hAnsi="Times New Roman"/>
                <w:sz w:val="22"/>
              </w:rPr>
              <w:t>14</w:t>
            </w:r>
          </w:p>
        </w:tc>
      </w:tr>
      <w:tr>
        <w:tc>
          <w:tcPr>
            <w:tcW w:type="dxa" w:w="7488"/>
            <w:tcMar>
              <w:top w:w="60" w:type="dxa"/>
              <w:bottom w:w="60" w:type="dxa"/>
              <w:left w:w="150" w:type="dxa"/>
              <w:right w:w="150" w:type="dxa"/>
            </w:tcMar>
          </w:tcPr>
          <w:p>
            <w:r>
              <w:rPr>
                <w:rFonts w:ascii="Times New Roman" w:hAnsi="Times New Roman"/>
                <w:sz w:val="22"/>
              </w:rPr>
              <w:t xml:space="preserve">       4.2.3 Class &amp; Smart Contract Architecture</w:t>
            </w:r>
          </w:p>
        </w:tc>
        <w:tc>
          <w:tcPr>
            <w:tcW w:type="dxa" w:w="1728"/>
            <w:tcMar>
              <w:top w:w="60" w:type="dxa"/>
              <w:bottom w:w="60" w:type="dxa"/>
              <w:left w:w="150" w:type="dxa"/>
              <w:right w:w="150" w:type="dxa"/>
            </w:tcMar>
          </w:tcPr>
          <w:p>
            <w:pPr>
              <w:jc w:val="right"/>
            </w:pPr>
            <w:r>
              <w:rPr>
                <w:rFonts w:ascii="Times New Roman" w:hAnsi="Times New Roman"/>
                <w:sz w:val="22"/>
              </w:rPr>
              <w:t>15</w:t>
            </w:r>
          </w:p>
        </w:tc>
      </w:tr>
      <w:tr>
        <w:tc>
          <w:tcPr>
            <w:tcW w:type="dxa" w:w="7488"/>
            <w:tcMar>
              <w:top w:w="60" w:type="dxa"/>
              <w:bottom w:w="60" w:type="dxa"/>
              <w:left w:w="150" w:type="dxa"/>
              <w:right w:w="150" w:type="dxa"/>
            </w:tcMar>
          </w:tcPr>
          <w:p>
            <w:r>
              <w:rPr>
                <w:rFonts w:ascii="Times New Roman" w:hAnsi="Times New Roman"/>
                <w:sz w:val="22"/>
              </w:rPr>
              <w:t xml:space="preserve">       4.2.4 Sequence Diagrams</w:t>
            </w:r>
          </w:p>
        </w:tc>
        <w:tc>
          <w:tcPr>
            <w:tcW w:type="dxa" w:w="1728"/>
            <w:tcMar>
              <w:top w:w="60" w:type="dxa"/>
              <w:bottom w:w="60" w:type="dxa"/>
              <w:left w:w="150" w:type="dxa"/>
              <w:right w:w="150" w:type="dxa"/>
            </w:tcMar>
          </w:tcPr>
          <w:p>
            <w:pPr>
              <w:jc w:val="right"/>
            </w:pPr>
            <w:r>
              <w:rPr>
                <w:rFonts w:ascii="Times New Roman" w:hAnsi="Times New Roman"/>
                <w:sz w:val="22"/>
              </w:rPr>
              <w:t>16</w:t>
            </w:r>
          </w:p>
        </w:tc>
      </w:tr>
      <w:tr>
        <w:tc>
          <w:tcPr>
            <w:tcW w:type="dxa" w:w="7488"/>
            <w:tcMar>
              <w:top w:w="60" w:type="dxa"/>
              <w:bottom w:w="60" w:type="dxa"/>
              <w:left w:w="150" w:type="dxa"/>
              <w:right w:w="150" w:type="dxa"/>
            </w:tcMar>
          </w:tcPr>
          <w:p>
            <w:r>
              <w:rPr>
                <w:rFonts w:ascii="Times New Roman" w:hAnsi="Times New Roman"/>
                <w:b/>
                <w:sz w:val="22"/>
              </w:rPr>
              <w:t>5. IMPLEMENTATION AND EXPERIMENTAL RESULTS</w:t>
            </w:r>
          </w:p>
        </w:tc>
        <w:tc>
          <w:tcPr>
            <w:tcW w:type="dxa" w:w="1728"/>
            <w:tcMar>
              <w:top w:w="60" w:type="dxa"/>
              <w:bottom w:w="60" w:type="dxa"/>
              <w:left w:w="150" w:type="dxa"/>
              <w:right w:w="150" w:type="dxa"/>
            </w:tcMar>
          </w:tcPr>
          <w:p>
            <w:pPr>
              <w:jc w:val="right"/>
            </w:pPr>
            <w:r>
              <w:rPr>
                <w:rFonts w:ascii="Times New Roman" w:hAnsi="Times New Roman"/>
                <w:sz w:val="22"/>
              </w:rPr>
              <w:t>17</w:t>
            </w:r>
          </w:p>
        </w:tc>
      </w:tr>
      <w:tr>
        <w:tc>
          <w:tcPr>
            <w:tcW w:type="dxa" w:w="7488"/>
            <w:tcMar>
              <w:top w:w="60" w:type="dxa"/>
              <w:bottom w:w="60" w:type="dxa"/>
              <w:left w:w="150" w:type="dxa"/>
              <w:right w:w="150" w:type="dxa"/>
            </w:tcMar>
          </w:tcPr>
          <w:p>
            <w:r>
              <w:rPr>
                <w:rFonts w:ascii="Times New Roman" w:hAnsi="Times New Roman"/>
                <w:sz w:val="22"/>
              </w:rPr>
              <w:t xml:space="preserve">   5.1 Smart Contract Implementation</w:t>
            </w:r>
          </w:p>
        </w:tc>
        <w:tc>
          <w:tcPr>
            <w:tcW w:type="dxa" w:w="1728"/>
            <w:tcMar>
              <w:top w:w="60" w:type="dxa"/>
              <w:bottom w:w="60" w:type="dxa"/>
              <w:left w:w="150" w:type="dxa"/>
              <w:right w:w="150" w:type="dxa"/>
            </w:tcMar>
          </w:tcPr>
          <w:p>
            <w:pPr>
              <w:jc w:val="right"/>
            </w:pPr>
            <w:r>
              <w:rPr>
                <w:rFonts w:ascii="Times New Roman" w:hAnsi="Times New Roman"/>
                <w:sz w:val="22"/>
              </w:rPr>
              <w:t>17</w:t>
            </w:r>
          </w:p>
        </w:tc>
      </w:tr>
      <w:tr>
        <w:tc>
          <w:tcPr>
            <w:tcW w:type="dxa" w:w="7488"/>
            <w:tcMar>
              <w:top w:w="60" w:type="dxa"/>
              <w:bottom w:w="60" w:type="dxa"/>
              <w:left w:w="150" w:type="dxa"/>
              <w:right w:w="150" w:type="dxa"/>
            </w:tcMar>
          </w:tcPr>
          <w:p>
            <w:r>
              <w:rPr>
                <w:rFonts w:ascii="Times New Roman" w:hAnsi="Times New Roman"/>
                <w:sz w:val="22"/>
              </w:rPr>
              <w:t xml:space="preserve">   5.2 Cryptographic Gateway &amp; IPFS Pinning Engine</w:t>
            </w:r>
          </w:p>
        </w:tc>
        <w:tc>
          <w:tcPr>
            <w:tcW w:type="dxa" w:w="1728"/>
            <w:tcMar>
              <w:top w:w="60" w:type="dxa"/>
              <w:bottom w:w="60" w:type="dxa"/>
              <w:left w:w="150" w:type="dxa"/>
              <w:right w:w="150" w:type="dxa"/>
            </w:tcMar>
          </w:tcPr>
          <w:p>
            <w:pPr>
              <w:jc w:val="right"/>
            </w:pPr>
            <w:r>
              <w:rPr>
                <w:rFonts w:ascii="Times New Roman" w:hAnsi="Times New Roman"/>
                <w:sz w:val="22"/>
              </w:rPr>
              <w:t>18</w:t>
            </w:r>
          </w:p>
        </w:tc>
      </w:tr>
      <w:tr>
        <w:tc>
          <w:tcPr>
            <w:tcW w:type="dxa" w:w="7488"/>
            <w:tcMar>
              <w:top w:w="60" w:type="dxa"/>
              <w:bottom w:w="60" w:type="dxa"/>
              <w:left w:w="150" w:type="dxa"/>
              <w:right w:w="150" w:type="dxa"/>
            </w:tcMar>
          </w:tcPr>
          <w:p>
            <w:r>
              <w:rPr>
                <w:rFonts w:ascii="Times New Roman" w:hAnsi="Times New Roman"/>
                <w:sz w:val="22"/>
              </w:rPr>
              <w:t xml:space="preserve">   5.3 Role-Based User Portals &amp; UI/UX</w:t>
            </w:r>
          </w:p>
        </w:tc>
        <w:tc>
          <w:tcPr>
            <w:tcW w:type="dxa" w:w="1728"/>
            <w:tcMar>
              <w:top w:w="60" w:type="dxa"/>
              <w:bottom w:w="60" w:type="dxa"/>
              <w:left w:w="150" w:type="dxa"/>
              <w:right w:w="150" w:type="dxa"/>
            </w:tcMar>
          </w:tcPr>
          <w:p>
            <w:pPr>
              <w:jc w:val="right"/>
            </w:pPr>
            <w:r>
              <w:rPr>
                <w:rFonts w:ascii="Times New Roman" w:hAnsi="Times New Roman"/>
                <w:sz w:val="22"/>
              </w:rPr>
              <w:t>19</w:t>
            </w:r>
          </w:p>
        </w:tc>
      </w:tr>
      <w:tr>
        <w:tc>
          <w:tcPr>
            <w:tcW w:type="dxa" w:w="7488"/>
            <w:tcMar>
              <w:top w:w="60" w:type="dxa"/>
              <w:bottom w:w="60" w:type="dxa"/>
              <w:left w:w="150" w:type="dxa"/>
              <w:right w:w="150" w:type="dxa"/>
            </w:tcMar>
          </w:tcPr>
          <w:p>
            <w:r>
              <w:rPr>
                <w:rFonts w:ascii="Times New Roman" w:hAnsi="Times New Roman"/>
                <w:sz w:val="22"/>
              </w:rPr>
              <w:t xml:space="preserve">   5.4 Testing, Benchmarks &amp; Validation</w:t>
            </w:r>
          </w:p>
        </w:tc>
        <w:tc>
          <w:tcPr>
            <w:tcW w:type="dxa" w:w="1728"/>
            <w:tcMar>
              <w:top w:w="60" w:type="dxa"/>
              <w:bottom w:w="60" w:type="dxa"/>
              <w:left w:w="150" w:type="dxa"/>
              <w:right w:w="150" w:type="dxa"/>
            </w:tcMar>
          </w:tcPr>
          <w:p>
            <w:pPr>
              <w:jc w:val="right"/>
            </w:pPr>
            <w:r>
              <w:rPr>
                <w:rFonts w:ascii="Times New Roman" w:hAnsi="Times New Roman"/>
                <w:sz w:val="22"/>
              </w:rPr>
              <w:t>20</w:t>
            </w:r>
          </w:p>
        </w:tc>
      </w:tr>
      <w:tr>
        <w:tc>
          <w:tcPr>
            <w:tcW w:type="dxa" w:w="7488"/>
            <w:tcMar>
              <w:top w:w="60" w:type="dxa"/>
              <w:bottom w:w="60" w:type="dxa"/>
              <w:left w:w="150" w:type="dxa"/>
              <w:right w:w="150" w:type="dxa"/>
            </w:tcMar>
          </w:tcPr>
          <w:p>
            <w:r>
              <w:rPr>
                <w:rFonts w:ascii="Times New Roman" w:hAnsi="Times New Roman"/>
                <w:sz w:val="22"/>
              </w:rPr>
              <w:t xml:space="preserve">   5.5 Security, HIPAA &amp; GDPR Compliance Analysis</w:t>
            </w:r>
          </w:p>
        </w:tc>
        <w:tc>
          <w:tcPr>
            <w:tcW w:type="dxa" w:w="1728"/>
            <w:tcMar>
              <w:top w:w="60" w:type="dxa"/>
              <w:bottom w:w="60" w:type="dxa"/>
              <w:left w:w="150" w:type="dxa"/>
              <w:right w:w="150" w:type="dxa"/>
            </w:tcMar>
          </w:tcPr>
          <w:p>
            <w:pPr>
              <w:jc w:val="right"/>
            </w:pPr>
            <w:r>
              <w:rPr>
                <w:rFonts w:ascii="Times New Roman" w:hAnsi="Times New Roman"/>
                <w:sz w:val="22"/>
              </w:rPr>
              <w:t>21</w:t>
            </w:r>
          </w:p>
        </w:tc>
      </w:tr>
      <w:tr>
        <w:tc>
          <w:tcPr>
            <w:tcW w:type="dxa" w:w="7488"/>
            <w:tcMar>
              <w:top w:w="60" w:type="dxa"/>
              <w:bottom w:w="60" w:type="dxa"/>
              <w:left w:w="150" w:type="dxa"/>
              <w:right w:w="150" w:type="dxa"/>
            </w:tcMar>
          </w:tcPr>
          <w:p>
            <w:r>
              <w:rPr>
                <w:rFonts w:ascii="Times New Roman" w:hAnsi="Times New Roman"/>
                <w:b/>
                <w:sz w:val="22"/>
              </w:rPr>
              <w:t>6. CONCLUSION AND FUTURE WORK</w:t>
            </w:r>
          </w:p>
        </w:tc>
        <w:tc>
          <w:tcPr>
            <w:tcW w:type="dxa" w:w="1728"/>
            <w:tcMar>
              <w:top w:w="60" w:type="dxa"/>
              <w:bottom w:w="60" w:type="dxa"/>
              <w:left w:w="150" w:type="dxa"/>
              <w:right w:w="150" w:type="dxa"/>
            </w:tcMar>
          </w:tcPr>
          <w:p>
            <w:pPr>
              <w:jc w:val="right"/>
            </w:pPr>
            <w:r>
              <w:rPr>
                <w:rFonts w:ascii="Times New Roman" w:hAnsi="Times New Roman"/>
                <w:sz w:val="22"/>
              </w:rPr>
              <w:t>22</w:t>
            </w:r>
          </w:p>
        </w:tc>
      </w:tr>
      <w:tr>
        <w:tc>
          <w:tcPr>
            <w:tcW w:type="dxa" w:w="7488"/>
            <w:tcMar>
              <w:top w:w="60" w:type="dxa"/>
              <w:bottom w:w="60" w:type="dxa"/>
              <w:left w:w="150" w:type="dxa"/>
              <w:right w:w="150" w:type="dxa"/>
            </w:tcMar>
          </w:tcPr>
          <w:p>
            <w:r>
              <w:rPr>
                <w:rFonts w:ascii="Times New Roman" w:hAnsi="Times New Roman"/>
                <w:sz w:val="22"/>
              </w:rPr>
              <w:t xml:space="preserve">   6.1 Review-2 Progress Summary</w:t>
            </w:r>
          </w:p>
        </w:tc>
        <w:tc>
          <w:tcPr>
            <w:tcW w:type="dxa" w:w="1728"/>
            <w:tcMar>
              <w:top w:w="60" w:type="dxa"/>
              <w:bottom w:w="60" w:type="dxa"/>
              <w:left w:w="150" w:type="dxa"/>
              <w:right w:w="150" w:type="dxa"/>
            </w:tcMar>
          </w:tcPr>
          <w:p>
            <w:pPr>
              <w:jc w:val="right"/>
            </w:pPr>
            <w:r>
              <w:rPr>
                <w:rFonts w:ascii="Times New Roman" w:hAnsi="Times New Roman"/>
                <w:sz w:val="22"/>
              </w:rPr>
              <w:t>22</w:t>
            </w:r>
          </w:p>
        </w:tc>
      </w:tr>
      <w:tr>
        <w:tc>
          <w:tcPr>
            <w:tcW w:type="dxa" w:w="7488"/>
            <w:tcMar>
              <w:top w:w="60" w:type="dxa"/>
              <w:bottom w:w="60" w:type="dxa"/>
              <w:left w:w="150" w:type="dxa"/>
              <w:right w:w="150" w:type="dxa"/>
            </w:tcMar>
          </w:tcPr>
          <w:p>
            <w:r>
              <w:rPr>
                <w:rFonts w:ascii="Times New Roman" w:hAnsi="Times New Roman"/>
                <w:sz w:val="22"/>
              </w:rPr>
              <w:t xml:space="preserve">   6.2 Roadmap to Final Review</w:t>
            </w:r>
          </w:p>
        </w:tc>
        <w:tc>
          <w:tcPr>
            <w:tcW w:type="dxa" w:w="1728"/>
            <w:tcMar>
              <w:top w:w="60" w:type="dxa"/>
              <w:bottom w:w="60" w:type="dxa"/>
              <w:left w:w="150" w:type="dxa"/>
              <w:right w:w="150" w:type="dxa"/>
            </w:tcMar>
          </w:tcPr>
          <w:p>
            <w:pPr>
              <w:jc w:val="right"/>
            </w:pPr>
            <w:r>
              <w:rPr>
                <w:rFonts w:ascii="Times New Roman" w:hAnsi="Times New Roman"/>
                <w:sz w:val="22"/>
              </w:rPr>
              <w:t>22</w:t>
            </w:r>
          </w:p>
        </w:tc>
      </w:tr>
      <w:tr>
        <w:tc>
          <w:tcPr>
            <w:tcW w:type="dxa" w:w="7488"/>
            <w:tcMar>
              <w:top w:w="60" w:type="dxa"/>
              <w:bottom w:w="60" w:type="dxa"/>
              <w:left w:w="150" w:type="dxa"/>
              <w:right w:w="150" w:type="dxa"/>
            </w:tcMar>
          </w:tcPr>
          <w:p>
            <w:r>
              <w:rPr>
                <w:rFonts w:ascii="Times New Roman" w:hAnsi="Times New Roman"/>
                <w:b/>
                <w:sz w:val="22"/>
              </w:rPr>
              <w:t>7. REFERENCES</w:t>
            </w:r>
          </w:p>
        </w:tc>
        <w:tc>
          <w:tcPr>
            <w:tcW w:type="dxa" w:w="1728"/>
            <w:tcMar>
              <w:top w:w="60" w:type="dxa"/>
              <w:bottom w:w="60" w:type="dxa"/>
              <w:left w:w="150" w:type="dxa"/>
              <w:right w:w="150" w:type="dxa"/>
            </w:tcMar>
          </w:tcPr>
          <w:p>
            <w:pPr>
              <w:jc w:val="right"/>
            </w:pPr>
            <w:r>
              <w:rPr>
                <w:rFonts w:ascii="Times New Roman" w:hAnsi="Times New Roman"/>
                <w:sz w:val="22"/>
              </w:rPr>
              <w:t>23</w:t>
            </w:r>
          </w:p>
        </w:tc>
      </w:tr>
    </w:tbl>
    <w:p>
      <w:r>
        <w:br w:type="page"/>
      </w:r>
    </w:p>
    <w:p>
      <w:pPr>
        <w:keepNext/>
        <w:spacing w:before="360" w:after="160" w:line="360" w:lineRule="auto"/>
      </w:pPr>
      <w:r>
        <w:rPr>
          <w:rFonts w:ascii="Times New Roman" w:hAnsi="Times New Roman"/>
          <w:b/>
          <w:color w:val="1F4E79"/>
          <w:sz w:val="28"/>
        </w:rPr>
        <w:t>1. INTRODUCTION</w:t>
      </w:r>
    </w:p>
    <w:p>
      <w:pPr>
        <w:keepNext/>
        <w:spacing w:before="280" w:after="120" w:line="360" w:lineRule="auto"/>
      </w:pPr>
      <w:r>
        <w:rPr>
          <w:rFonts w:ascii="Times New Roman" w:hAnsi="Times New Roman"/>
          <w:b/>
          <w:color w:val="0F172A"/>
          <w:sz w:val="26"/>
        </w:rPr>
        <w:t>1.1 Background</w:t>
      </w:r>
    </w:p>
    <w:p>
      <w:pPr>
        <w:spacing w:line="276" w:lineRule="auto" w:after="120"/>
        <w:jc w:val="both"/>
      </w:pPr>
      <w:r>
        <w:rPr>
          <w:rFonts w:ascii="Times New Roman" w:hAnsi="Times New Roman"/>
          <w:color w:val="1E293B"/>
          <w:sz w:val="24"/>
        </w:rPr>
        <w:t>The worldwide healthcare industry has undergone massive digital transformation over the past decade, replacing physical paper records with Electronic Health Records (EHRs). Modern clinical environments generate enormous quantities of sensitive health data daily, including lab diagnostic reports, high-resolution radiological scans (MRI, CT, X-ray), and prescription histories. Centralized hospital database systems and third-party cloud hosting services have become the predominant repository models for managing this clinical information. While centralized solutions streamline localized record queries within individual hospital walls, they introduce severe architectural bottlenecks when patient data must be shared across distinct medical networks, emergency clinics, insurance underwriters, and specialist consultations. Furthermore, patients are completely disenfranchised from the ownership lifecycle of their data, having neither visibility into who inspects their records nor the capability to revoke access once granted.</w:t>
      </w:r>
    </w:p>
    <w:p>
      <w:pPr>
        <w:keepNext/>
        <w:spacing w:before="280" w:after="120" w:line="360" w:lineRule="auto"/>
      </w:pPr>
      <w:r>
        <w:rPr>
          <w:rFonts w:ascii="Times New Roman" w:hAnsi="Times New Roman"/>
          <w:b/>
          <w:color w:val="0F172A"/>
          <w:sz w:val="26"/>
        </w:rPr>
        <w:t>1.2 Motivation</w:t>
      </w:r>
    </w:p>
    <w:p>
      <w:pPr>
        <w:spacing w:line="276" w:lineRule="auto" w:after="120"/>
        <w:jc w:val="both"/>
      </w:pPr>
      <w:r>
        <w:rPr>
          <w:rFonts w:ascii="Times New Roman" w:hAnsi="Times New Roman"/>
          <w:color w:val="1E293B"/>
          <w:sz w:val="24"/>
        </w:rPr>
        <w:t>Centralized healthcare data repositories have become the single most lucrative target for sophisticated cyberattacks, ransomware extortions, and unauthorized commercial data brokering. According to global cybersecurity breach reports, over 133 million health records were compromised between 2023 and 2025 alone, causing devastating financial damages, reputational catastrophe for institutions, and severe risks to patient privacy. Additionally, fragmented database schemas across disparate medical centers lead to critical information blind spots during emergency trauma care, forcing doctors to order repetitive, costly, and time-consuming diagnostic tests. This project is strongly motivated by the urgent necessity for a patient-centric, zero-trust electronic health record protocol. By synthesizing client-side symmetric encryption, decentralized IPFS file storage, and Ethereum smart contract access control, CareChain empowers patients with absolute cryptographic sovereignty, eliminates single points of failure, and provides non-repudiable audit logging.</w:t>
      </w:r>
    </w:p>
    <w:p>
      <w:pPr>
        <w:keepNext/>
        <w:spacing w:before="280" w:after="120" w:line="360" w:lineRule="auto"/>
      </w:pPr>
      <w:r>
        <w:rPr>
          <w:rFonts w:ascii="Times New Roman" w:hAnsi="Times New Roman"/>
          <w:b/>
          <w:color w:val="0F172A"/>
          <w:sz w:val="26"/>
        </w:rPr>
        <w:t>1.3 Scope of the Project</w:t>
      </w:r>
    </w:p>
    <w:p>
      <w:pPr>
        <w:spacing w:line="276" w:lineRule="auto" w:after="120"/>
        <w:jc w:val="both"/>
      </w:pPr>
      <w:r>
        <w:rPr>
          <w:rFonts w:ascii="Times New Roman" w:hAnsi="Times New Roman"/>
          <w:color w:val="1E293B"/>
          <w:sz w:val="24"/>
        </w:rPr>
        <w:t>The scope of CareChain encompasses the end-to-end design, implementation, and empirical validation of a decentralized healthcare data platform. The project establishes a hybrid architecture: medical files are encrypted in the client browser using AES-256-GCM and stored off-chain across decentralized IPFS nodes, while patient-managed access matrices, verified doctor registries, and immutable audit logs are executed on-chain via Solidity smart contracts (MedicalRecord.sol). The scope covers dedicated, role-based Web3 portals for Patients, Licensed Clinicians, and Hospital Administrators with MetaMask wallet authentication. The system enforces strict compliance with the HIPAA Security Rule (§164.312) and GDPR Article 17 (Right to Erasure via Crypto-Shredding). The Review-2 milestone demonstrates a fully functional prototype representing ~75% completion of the overall project lifecycle.</w:t>
      </w:r>
    </w:p>
    <w:p>
      <w:r>
        <w:br w:type="page"/>
      </w:r>
    </w:p>
    <w:p>
      <w:pPr>
        <w:keepNext/>
        <w:spacing w:before="360" w:after="160" w:line="360" w:lineRule="auto"/>
      </w:pPr>
      <w:r>
        <w:rPr>
          <w:rFonts w:ascii="Times New Roman" w:hAnsi="Times New Roman"/>
          <w:b/>
          <w:color w:val="1F4E79"/>
          <w:sz w:val="28"/>
        </w:rPr>
        <w:t>2. PROJECT DESCRIPTION AND GOALS</w:t>
      </w:r>
    </w:p>
    <w:p>
      <w:pPr>
        <w:keepNext/>
        <w:spacing w:before="280" w:after="120" w:line="360" w:lineRule="auto"/>
      </w:pPr>
      <w:r>
        <w:rPr>
          <w:rFonts w:ascii="Times New Roman" w:hAnsi="Times New Roman"/>
          <w:b/>
          <w:color w:val="0F172A"/>
          <w:sz w:val="26"/>
        </w:rPr>
        <w:t>2.1 Literature Review</w:t>
      </w:r>
    </w:p>
    <w:p>
      <w:pPr>
        <w:spacing w:line="276" w:lineRule="auto" w:after="120"/>
        <w:jc w:val="both"/>
      </w:pPr>
      <w:r>
        <w:rPr>
          <w:rFonts w:ascii="Times New Roman" w:hAnsi="Times New Roman"/>
          <w:color w:val="1E293B"/>
          <w:sz w:val="24"/>
        </w:rPr>
        <w:t>Over the past decade, significant academic research has explored the application of distributed ledger technology and decentralized storage in medical informatics. A rigorous literature survey of seminal works was conducted to establish benchmark architectures and identify persisting limitations:</w:t>
      </w:r>
    </w:p>
    <w:p>
      <w:pPr>
        <w:pStyle w:val="ListBullet"/>
        <w:spacing w:line="276" w:lineRule="auto" w:after="80"/>
        <w:ind w:left="576"/>
      </w:pPr>
      <w:r>
        <w:rPr>
          <w:rFonts w:ascii="Times New Roman" w:hAnsi="Times New Roman"/>
          <w:b/>
          <w:sz w:val="24"/>
        </w:rPr>
        <w:t xml:space="preserve">MedRec Architecture: </w:t>
      </w:r>
      <w:r>
        <w:rPr>
          <w:rFonts w:ascii="Times New Roman" w:hAnsi="Times New Roman"/>
          <w:sz w:val="24"/>
        </w:rPr>
        <w:t xml:space="preserve"> Azaria et al. (2016) proposed 'MedRec', one of the pioneering systems utilizing Ethereum smart contracts to manage electronic medical records. MedRec introduced decentralized identity management and access permission mapping. However, MedRec stored actual medical records in traditional local database silos, leaving the raw data vulnerable to centralized server compromises.</w:t>
      </w:r>
    </w:p>
    <w:p>
      <w:pPr>
        <w:pStyle w:val="ListBullet"/>
        <w:spacing w:line="276" w:lineRule="auto" w:after="80"/>
        <w:ind w:left="576"/>
      </w:pPr>
      <w:r>
        <w:rPr>
          <w:rFonts w:ascii="Times New Roman" w:hAnsi="Times New Roman"/>
          <w:b/>
          <w:sz w:val="24"/>
        </w:rPr>
        <w:t xml:space="preserve">MeDShare Framework: </w:t>
      </w:r>
      <w:r>
        <w:rPr>
          <w:rFonts w:ascii="Times New Roman" w:hAnsi="Times New Roman"/>
          <w:sz w:val="24"/>
        </w:rPr>
        <w:t xml:space="preserve"> Xia et al. (2017) introduced 'MeDShare', a blockchain-based system for trustless medical data sharing among cloud service providers. MeDShare focused on data provenance and auditing across untrusted cloud environments but lacked dynamic, patient-controlled access revocation mechanisms and browser-native symmetric encryption.</w:t>
      </w:r>
    </w:p>
    <w:p>
      <w:pPr>
        <w:pStyle w:val="ListBullet"/>
        <w:spacing w:line="276" w:lineRule="auto" w:after="80"/>
        <w:ind w:left="576"/>
      </w:pPr>
      <w:r>
        <w:rPr>
          <w:rFonts w:ascii="Times New Roman" w:hAnsi="Times New Roman"/>
          <w:b/>
          <w:sz w:val="24"/>
        </w:rPr>
        <w:t xml:space="preserve">Attribute-Based EMR: </w:t>
      </w:r>
      <w:r>
        <w:rPr>
          <w:rFonts w:ascii="Times New Roman" w:hAnsi="Times New Roman"/>
          <w:sz w:val="24"/>
        </w:rPr>
        <w:t xml:space="preserve"> Dubovitskaya et al. (2017) developed an EMR sharing framework utilizing permissioned blockchain networks and attribute-based encryption. While achieving fine-grained access control, the system suffered from high computational complexity and lacked integration with lightweight decentralized storage protocols such as IPFS.</w:t>
      </w:r>
    </w:p>
    <w:p>
      <w:pPr>
        <w:pStyle w:val="ListBullet"/>
        <w:spacing w:line="276" w:lineRule="auto" w:after="80"/>
        <w:ind w:left="576"/>
      </w:pPr>
      <w:r>
        <w:rPr>
          <w:rFonts w:ascii="Times New Roman" w:hAnsi="Times New Roman"/>
          <w:b/>
          <w:sz w:val="24"/>
        </w:rPr>
        <w:t xml:space="preserve">Role-Based EHR Frameworks: </w:t>
      </w:r>
      <w:r>
        <w:rPr>
          <w:rFonts w:ascii="Times New Roman" w:hAnsi="Times New Roman"/>
          <w:sz w:val="24"/>
        </w:rPr>
        <w:t xml:space="preserve"> Shahnaz et al. (2019) presented a role-based access control framework using Ethereum smart contracts for electronic health records. The framework validated security against DDoS attacks but relied on centralized key management and did not address clinician licensing verification.</w:t>
      </w:r>
    </w:p>
    <w:p>
      <w:pPr>
        <w:pStyle w:val="ListBullet"/>
        <w:spacing w:line="276" w:lineRule="auto" w:after="80"/>
        <w:ind w:left="576"/>
      </w:pPr>
      <w:r>
        <w:rPr>
          <w:rFonts w:ascii="Times New Roman" w:hAnsi="Times New Roman"/>
          <w:b/>
          <w:sz w:val="24"/>
        </w:rPr>
        <w:t xml:space="preserve">Healthcare Gateways: </w:t>
      </w:r>
      <w:r>
        <w:rPr>
          <w:rFonts w:ascii="Times New Roman" w:hAnsi="Times New Roman"/>
          <w:sz w:val="24"/>
        </w:rPr>
        <w:t xml:space="preserve"> Yue et al. (2016) proposed Healthcare Data Gateways enabling patient data control on blockchain, but the architecture did not resolve off-chain data pinning and encryption throughput bottlenecks.</w:t>
      </w:r>
    </w:p>
    <w:p>
      <w:pPr>
        <w:spacing w:line="276" w:lineRule="auto" w:after="120"/>
        <w:jc w:val="both"/>
      </w:pPr>
      <w:r>
        <w:rPr>
          <w:rFonts w:ascii="Times New Roman" w:hAnsi="Times New Roman"/>
          <w:color w:val="1E293B"/>
          <w:sz w:val="24"/>
        </w:rPr>
        <w:t>A structured comparative analysis of these benchmark works against the proposed CareChain platform is summarized in Table 2.1:</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250"/>
        <w:gridCol w:w="2250"/>
        <w:gridCol w:w="2250"/>
        <w:gridCol w:w="2250"/>
      </w:tblGrid>
      <w:tr>
        <w:tc>
          <w:tcPr>
            <w:tcW w:type="dxa" w:w="1872"/>
            <w:shd w:fill="1F4E79"/>
            <w:tcMar>
              <w:top w:w="100" w:type="dxa"/>
              <w:bottom w:w="100" w:type="dxa"/>
              <w:left w:w="100" w:type="dxa"/>
              <w:right w:w="100" w:type="dxa"/>
            </w:tcMar>
          </w:tcPr>
          <w:p>
            <w:r>
              <w:rPr>
                <w:rFonts w:ascii="Times New Roman" w:hAnsi="Times New Roman"/>
                <w:b/>
                <w:color w:val="FFFFFF"/>
                <w:sz w:val="21"/>
              </w:rPr>
              <w:t>Author &amp; Year</w:t>
            </w:r>
          </w:p>
        </w:tc>
        <w:tc>
          <w:tcPr>
            <w:tcW w:type="dxa" w:w="2016"/>
            <w:shd w:fill="1F4E79"/>
            <w:tcMar>
              <w:top w:w="100" w:type="dxa"/>
              <w:bottom w:w="100" w:type="dxa"/>
              <w:left w:w="100" w:type="dxa"/>
              <w:right w:w="100" w:type="dxa"/>
            </w:tcMar>
          </w:tcPr>
          <w:p>
            <w:r>
              <w:rPr>
                <w:rFonts w:ascii="Times New Roman" w:hAnsi="Times New Roman"/>
                <w:b/>
                <w:color w:val="FFFFFF"/>
                <w:sz w:val="21"/>
              </w:rPr>
              <w:t>System / Approach</w:t>
            </w:r>
          </w:p>
        </w:tc>
        <w:tc>
          <w:tcPr>
            <w:tcW w:type="dxa" w:w="3168"/>
            <w:shd w:fill="1F4E79"/>
            <w:tcMar>
              <w:top w:w="100" w:type="dxa"/>
              <w:bottom w:w="100" w:type="dxa"/>
              <w:left w:w="100" w:type="dxa"/>
              <w:right w:w="100" w:type="dxa"/>
            </w:tcMar>
          </w:tcPr>
          <w:p>
            <w:r>
              <w:rPr>
                <w:rFonts w:ascii="Times New Roman" w:hAnsi="Times New Roman"/>
                <w:b/>
                <w:color w:val="FFFFFF"/>
                <w:sz w:val="21"/>
              </w:rPr>
              <w:t>Methodology &amp; Strengths</w:t>
            </w:r>
          </w:p>
        </w:tc>
        <w:tc>
          <w:tcPr>
            <w:tcW w:type="dxa" w:w="3312"/>
            <w:shd w:fill="1F4E79"/>
            <w:tcMar>
              <w:top w:w="100" w:type="dxa"/>
              <w:bottom w:w="100" w:type="dxa"/>
              <w:left w:w="100" w:type="dxa"/>
              <w:right w:w="100" w:type="dxa"/>
            </w:tcMar>
          </w:tcPr>
          <w:p>
            <w:r>
              <w:rPr>
                <w:rFonts w:ascii="Times New Roman" w:hAnsi="Times New Roman"/>
                <w:b/>
                <w:color w:val="FFFFFF"/>
                <w:sz w:val="21"/>
              </w:rPr>
              <w:t>Identified Research Gap</w:t>
            </w:r>
          </w:p>
        </w:tc>
      </w:tr>
      <w:tr>
        <w:tc>
          <w:tcPr>
            <w:tcW w:type="dxa" w:w="1872"/>
            <w:shd w:fill="F8FAFC"/>
            <w:tcMar>
              <w:top w:w="80" w:type="dxa"/>
              <w:bottom w:w="80" w:type="dxa"/>
              <w:left w:w="90" w:type="dxa"/>
              <w:right w:w="90" w:type="dxa"/>
            </w:tcMar>
          </w:tcPr>
          <w:p>
            <w:r>
              <w:rPr>
                <w:rFonts w:ascii="Times New Roman" w:hAnsi="Times New Roman"/>
                <w:sz w:val="20"/>
              </w:rPr>
              <w:t>Azaria et al. (2016)</w:t>
            </w:r>
          </w:p>
        </w:tc>
        <w:tc>
          <w:tcPr>
            <w:tcW w:type="dxa" w:w="2016"/>
            <w:shd w:fill="F8FAFC"/>
            <w:tcMar>
              <w:top w:w="80" w:type="dxa"/>
              <w:bottom w:w="80" w:type="dxa"/>
              <w:left w:w="90" w:type="dxa"/>
              <w:right w:w="90" w:type="dxa"/>
            </w:tcMar>
          </w:tcPr>
          <w:p>
            <w:r>
              <w:rPr>
                <w:rFonts w:ascii="Times New Roman" w:hAnsi="Times New Roman"/>
                <w:sz w:val="20"/>
              </w:rPr>
              <w:t>MedRec (Ethereum)</w:t>
            </w:r>
          </w:p>
        </w:tc>
        <w:tc>
          <w:tcPr>
            <w:tcW w:type="dxa" w:w="3168"/>
            <w:shd w:fill="F8FAFC"/>
            <w:tcMar>
              <w:top w:w="80" w:type="dxa"/>
              <w:bottom w:w="80" w:type="dxa"/>
              <w:left w:w="90" w:type="dxa"/>
              <w:right w:w="90" w:type="dxa"/>
            </w:tcMar>
          </w:tcPr>
          <w:p>
            <w:r>
              <w:rPr>
                <w:rFonts w:ascii="Times New Roman" w:hAnsi="Times New Roman"/>
                <w:sz w:val="20"/>
              </w:rPr>
              <w:t>On-chain access permission mapping &amp; identity indexing.</w:t>
            </w:r>
          </w:p>
        </w:tc>
        <w:tc>
          <w:tcPr>
            <w:tcW w:type="dxa" w:w="3312"/>
            <w:shd w:fill="F8FAFC"/>
            <w:tcMar>
              <w:top w:w="80" w:type="dxa"/>
              <w:bottom w:w="80" w:type="dxa"/>
              <w:left w:w="90" w:type="dxa"/>
              <w:right w:w="90" w:type="dxa"/>
            </w:tcMar>
          </w:tcPr>
          <w:p>
            <w:r>
              <w:rPr>
                <w:rFonts w:ascii="Times New Roman" w:hAnsi="Times New Roman"/>
                <w:sz w:val="20"/>
              </w:rPr>
              <w:t>No decentralized file storage; raw clinical files remain siloed in centralized hospital servers.</w:t>
            </w:r>
          </w:p>
        </w:tc>
      </w:tr>
      <w:tr>
        <w:tc>
          <w:tcPr>
            <w:tcW w:type="dxa" w:w="1872"/>
            <w:shd w:fill="FFFFFF"/>
            <w:tcMar>
              <w:top w:w="80" w:type="dxa"/>
              <w:bottom w:w="80" w:type="dxa"/>
              <w:left w:w="90" w:type="dxa"/>
              <w:right w:w="90" w:type="dxa"/>
            </w:tcMar>
          </w:tcPr>
          <w:p>
            <w:r>
              <w:rPr>
                <w:rFonts w:ascii="Times New Roman" w:hAnsi="Times New Roman"/>
                <w:sz w:val="20"/>
              </w:rPr>
              <w:t>Xia et al. (2017)</w:t>
            </w:r>
          </w:p>
        </w:tc>
        <w:tc>
          <w:tcPr>
            <w:tcW w:type="dxa" w:w="2016"/>
            <w:shd w:fill="FFFFFF"/>
            <w:tcMar>
              <w:top w:w="80" w:type="dxa"/>
              <w:bottom w:w="80" w:type="dxa"/>
              <w:left w:w="90" w:type="dxa"/>
              <w:right w:w="90" w:type="dxa"/>
            </w:tcMar>
          </w:tcPr>
          <w:p>
            <w:r>
              <w:rPr>
                <w:rFonts w:ascii="Times New Roman" w:hAnsi="Times New Roman"/>
                <w:sz w:val="20"/>
              </w:rPr>
              <w:t>MeDShare (Consortium)</w:t>
            </w:r>
          </w:p>
        </w:tc>
        <w:tc>
          <w:tcPr>
            <w:tcW w:type="dxa" w:w="3168"/>
            <w:shd w:fill="FFFFFF"/>
            <w:tcMar>
              <w:top w:w="80" w:type="dxa"/>
              <w:bottom w:w="80" w:type="dxa"/>
              <w:left w:w="90" w:type="dxa"/>
              <w:right w:w="90" w:type="dxa"/>
            </w:tcMar>
          </w:tcPr>
          <w:p>
            <w:r>
              <w:rPr>
                <w:rFonts w:ascii="Times New Roman" w:hAnsi="Times New Roman"/>
                <w:sz w:val="20"/>
              </w:rPr>
              <w:t>Trustless medical data sharing &amp; auditing across cloud providers.</w:t>
            </w:r>
          </w:p>
        </w:tc>
        <w:tc>
          <w:tcPr>
            <w:tcW w:type="dxa" w:w="3312"/>
            <w:shd w:fill="FFFFFF"/>
            <w:tcMar>
              <w:top w:w="80" w:type="dxa"/>
              <w:bottom w:w="80" w:type="dxa"/>
              <w:left w:w="90" w:type="dxa"/>
              <w:right w:w="90" w:type="dxa"/>
            </w:tcMar>
          </w:tcPr>
          <w:p>
            <w:r>
              <w:rPr>
                <w:rFonts w:ascii="Times New Roman" w:hAnsi="Times New Roman"/>
                <w:sz w:val="20"/>
              </w:rPr>
              <w:t>Lacks browser-native AES encryption &amp; direct patient-controlled instantaneous revocation.</w:t>
            </w:r>
          </w:p>
        </w:tc>
      </w:tr>
      <w:tr>
        <w:tc>
          <w:tcPr>
            <w:tcW w:type="dxa" w:w="1872"/>
            <w:shd w:fill="F8FAFC"/>
            <w:tcMar>
              <w:top w:w="80" w:type="dxa"/>
              <w:bottom w:w="80" w:type="dxa"/>
              <w:left w:w="90" w:type="dxa"/>
              <w:right w:w="90" w:type="dxa"/>
            </w:tcMar>
          </w:tcPr>
          <w:p>
            <w:r>
              <w:rPr>
                <w:rFonts w:ascii="Times New Roman" w:hAnsi="Times New Roman"/>
                <w:sz w:val="20"/>
              </w:rPr>
              <w:t>Dubovitskaya et al. (2017)</w:t>
            </w:r>
          </w:p>
        </w:tc>
        <w:tc>
          <w:tcPr>
            <w:tcW w:type="dxa" w:w="2016"/>
            <w:shd w:fill="F8FAFC"/>
            <w:tcMar>
              <w:top w:w="80" w:type="dxa"/>
              <w:bottom w:w="80" w:type="dxa"/>
              <w:left w:w="90" w:type="dxa"/>
              <w:right w:w="90" w:type="dxa"/>
            </w:tcMar>
          </w:tcPr>
          <w:p>
            <w:r>
              <w:rPr>
                <w:rFonts w:ascii="Times New Roman" w:hAnsi="Times New Roman"/>
                <w:sz w:val="20"/>
              </w:rPr>
              <w:t>Secure EMR Sharing</w:t>
            </w:r>
          </w:p>
        </w:tc>
        <w:tc>
          <w:tcPr>
            <w:tcW w:type="dxa" w:w="3168"/>
            <w:shd w:fill="F8FAFC"/>
            <w:tcMar>
              <w:top w:w="80" w:type="dxa"/>
              <w:bottom w:w="80" w:type="dxa"/>
              <w:left w:w="90" w:type="dxa"/>
              <w:right w:w="90" w:type="dxa"/>
            </w:tcMar>
          </w:tcPr>
          <w:p>
            <w:r>
              <w:rPr>
                <w:rFonts w:ascii="Times New Roman" w:hAnsi="Times New Roman"/>
                <w:sz w:val="20"/>
              </w:rPr>
              <w:t>Fine-grained access control using permissioned blockchain.</w:t>
            </w:r>
          </w:p>
        </w:tc>
        <w:tc>
          <w:tcPr>
            <w:tcW w:type="dxa" w:w="3312"/>
            <w:shd w:fill="F8FAFC"/>
            <w:tcMar>
              <w:top w:w="80" w:type="dxa"/>
              <w:bottom w:w="80" w:type="dxa"/>
              <w:left w:w="90" w:type="dxa"/>
              <w:right w:w="90" w:type="dxa"/>
            </w:tcMar>
          </w:tcPr>
          <w:p>
            <w:r>
              <w:rPr>
                <w:rFonts w:ascii="Times New Roman" w:hAnsi="Times New Roman"/>
                <w:sz w:val="20"/>
              </w:rPr>
              <w:t>Prohibitive on-chain gas costs; lacks lightweight decentralized IPFS integration.</w:t>
            </w:r>
          </w:p>
        </w:tc>
      </w:tr>
      <w:tr>
        <w:tc>
          <w:tcPr>
            <w:tcW w:type="dxa" w:w="1872"/>
            <w:shd w:fill="FFFFFF"/>
            <w:tcMar>
              <w:top w:w="80" w:type="dxa"/>
              <w:bottom w:w="80" w:type="dxa"/>
              <w:left w:w="90" w:type="dxa"/>
              <w:right w:w="90" w:type="dxa"/>
            </w:tcMar>
          </w:tcPr>
          <w:p>
            <w:r>
              <w:rPr>
                <w:rFonts w:ascii="Times New Roman" w:hAnsi="Times New Roman"/>
                <w:sz w:val="20"/>
              </w:rPr>
              <w:t>Shahnaz et al. (2019)</w:t>
            </w:r>
          </w:p>
        </w:tc>
        <w:tc>
          <w:tcPr>
            <w:tcW w:type="dxa" w:w="2016"/>
            <w:shd w:fill="FFFFFF"/>
            <w:tcMar>
              <w:top w:w="80" w:type="dxa"/>
              <w:bottom w:w="80" w:type="dxa"/>
              <w:left w:w="90" w:type="dxa"/>
              <w:right w:w="90" w:type="dxa"/>
            </w:tcMar>
          </w:tcPr>
          <w:p>
            <w:r>
              <w:rPr>
                <w:rFonts w:ascii="Times New Roman" w:hAnsi="Times New Roman"/>
                <w:sz w:val="20"/>
              </w:rPr>
              <w:t>EHR RBAC Framework</w:t>
            </w:r>
          </w:p>
        </w:tc>
        <w:tc>
          <w:tcPr>
            <w:tcW w:type="dxa" w:w="3168"/>
            <w:shd w:fill="FFFFFF"/>
            <w:tcMar>
              <w:top w:w="80" w:type="dxa"/>
              <w:bottom w:w="80" w:type="dxa"/>
              <w:left w:w="90" w:type="dxa"/>
              <w:right w:w="90" w:type="dxa"/>
            </w:tcMar>
          </w:tcPr>
          <w:p>
            <w:r>
              <w:rPr>
                <w:rFonts w:ascii="Times New Roman" w:hAnsi="Times New Roman"/>
                <w:sz w:val="20"/>
              </w:rPr>
              <w:t>Role-based access framework for healthcare data on Ethereum.</w:t>
            </w:r>
          </w:p>
        </w:tc>
        <w:tc>
          <w:tcPr>
            <w:tcW w:type="dxa" w:w="3312"/>
            <w:shd w:fill="FFFFFF"/>
            <w:tcMar>
              <w:top w:w="80" w:type="dxa"/>
              <w:bottom w:w="80" w:type="dxa"/>
              <w:left w:w="90" w:type="dxa"/>
              <w:right w:w="90" w:type="dxa"/>
            </w:tcMar>
          </w:tcPr>
          <w:p>
            <w:r>
              <w:rPr>
                <w:rFonts w:ascii="Times New Roman" w:hAnsi="Times New Roman"/>
                <w:sz w:val="20"/>
              </w:rPr>
              <w:t>Centralized key management bottleneck; lacks verified doctor licensing registry.</w:t>
            </w:r>
          </w:p>
        </w:tc>
      </w:tr>
      <w:tr>
        <w:tc>
          <w:tcPr>
            <w:tcW w:type="dxa" w:w="1872"/>
            <w:shd w:fill="ECFDF5"/>
            <w:tcMar>
              <w:top w:w="80" w:type="dxa"/>
              <w:bottom w:w="80" w:type="dxa"/>
              <w:left w:w="90" w:type="dxa"/>
              <w:right w:w="90" w:type="dxa"/>
            </w:tcMar>
          </w:tcPr>
          <w:p>
            <w:r>
              <w:rPr>
                <w:rFonts w:ascii="Times New Roman" w:hAnsi="Times New Roman"/>
                <w:b/>
                <w:color w:val="065F46"/>
                <w:sz w:val="20"/>
              </w:rPr>
              <w:t>CareChain (Proposed)</w:t>
            </w:r>
          </w:p>
        </w:tc>
        <w:tc>
          <w:tcPr>
            <w:tcW w:type="dxa" w:w="2016"/>
            <w:shd w:fill="ECFDF5"/>
            <w:tcMar>
              <w:top w:w="80" w:type="dxa"/>
              <w:bottom w:w="80" w:type="dxa"/>
              <w:left w:w="90" w:type="dxa"/>
              <w:right w:w="90" w:type="dxa"/>
            </w:tcMar>
          </w:tcPr>
          <w:p>
            <w:r>
              <w:rPr>
                <w:rFonts w:ascii="Times New Roman" w:hAnsi="Times New Roman"/>
                <w:b/>
                <w:color w:val="065F46"/>
                <w:sz w:val="20"/>
              </w:rPr>
              <w:t>Decentralized Web3 EHR</w:t>
            </w:r>
          </w:p>
        </w:tc>
        <w:tc>
          <w:tcPr>
            <w:tcW w:type="dxa" w:w="3168"/>
            <w:shd w:fill="ECFDF5"/>
            <w:tcMar>
              <w:top w:w="80" w:type="dxa"/>
              <w:bottom w:w="80" w:type="dxa"/>
              <w:left w:w="90" w:type="dxa"/>
              <w:right w:w="90" w:type="dxa"/>
            </w:tcMar>
          </w:tcPr>
          <w:p>
            <w:r>
              <w:rPr>
                <w:rFonts w:ascii="Times New Roman" w:hAnsi="Times New Roman"/>
                <w:b/>
                <w:color w:val="065F46"/>
                <w:sz w:val="20"/>
              </w:rPr>
              <w:t>Client AES-256-GCM + IPFS pinning + Solidity access control matrix.</w:t>
            </w:r>
          </w:p>
        </w:tc>
        <w:tc>
          <w:tcPr>
            <w:tcW w:type="dxa" w:w="3312"/>
            <w:shd w:fill="ECFDF5"/>
            <w:tcMar>
              <w:top w:w="80" w:type="dxa"/>
              <w:bottom w:w="80" w:type="dxa"/>
              <w:left w:w="90" w:type="dxa"/>
              <w:right w:w="90" w:type="dxa"/>
            </w:tcMar>
          </w:tcPr>
          <w:p>
            <w:r>
              <w:rPr>
                <w:rFonts w:ascii="Times New Roman" w:hAnsi="Times New Roman"/>
                <w:b/>
                <w:color w:val="065F46"/>
                <w:sz w:val="20"/>
              </w:rPr>
              <w:t>Solves all above: zero on-chain PHI, dynamic instant revocation, sub-second latency, verified doctor licensing.</w:t>
            </w:r>
          </w:p>
        </w:tc>
      </w:tr>
    </w:tbl>
    <w:p>
      <w:pPr>
        <w:spacing w:after="240"/>
        <w:jc w:val="center"/>
      </w:pPr>
      <w:r>
        <w:rPr>
          <w:rFonts w:ascii="Times New Roman" w:hAnsi="Times New Roman"/>
          <w:b/>
          <w:i/>
          <w:sz w:val="22"/>
        </w:rPr>
        <w:t>Table 2.1: Comparative Literature Survey and Gap Analysis</w:t>
      </w:r>
    </w:p>
    <w:p>
      <w:pPr>
        <w:keepNext/>
        <w:spacing w:before="280" w:after="120" w:line="360" w:lineRule="auto"/>
      </w:pPr>
      <w:r>
        <w:rPr>
          <w:rFonts w:ascii="Times New Roman" w:hAnsi="Times New Roman"/>
          <w:b/>
          <w:color w:val="0F172A"/>
          <w:sz w:val="26"/>
        </w:rPr>
        <w:t>2.2 Research Gap</w:t>
      </w:r>
    </w:p>
    <w:p>
      <w:pPr>
        <w:spacing w:line="276" w:lineRule="auto" w:after="120"/>
        <w:jc w:val="both"/>
      </w:pPr>
      <w:r>
        <w:rPr>
          <w:rFonts w:ascii="Times New Roman" w:hAnsi="Times New Roman"/>
          <w:color w:val="1E293B"/>
          <w:sz w:val="24"/>
        </w:rPr>
        <w:t>Based on the comprehensive literature survey, four fundamental research gaps were identified in current healthcare record architectures:</w:t>
      </w:r>
    </w:p>
    <w:p>
      <w:pPr>
        <w:pStyle w:val="ListBullet"/>
        <w:spacing w:line="276" w:lineRule="auto" w:after="80"/>
        <w:ind w:left="576"/>
      </w:pPr>
      <w:r>
        <w:rPr>
          <w:rFonts w:ascii="Times New Roman" w:hAnsi="Times New Roman"/>
          <w:b/>
          <w:sz w:val="24"/>
        </w:rPr>
        <w:t xml:space="preserve">1. Centralized Data Custody vs. Decentralization: </w:t>
      </w:r>
      <w:r>
        <w:rPr>
          <w:rFonts w:ascii="Times New Roman" w:hAnsi="Times New Roman"/>
          <w:sz w:val="24"/>
        </w:rPr>
        <w:t xml:space="preserve"> Centralized storage paradigms create catastrophic single points of failure. Even when blockchain is employed for indexing, storing unencrypted or centrally hosted data leaves sensitive health files vulnerable to external breaches.</w:t>
      </w:r>
    </w:p>
    <w:p>
      <w:pPr>
        <w:pStyle w:val="ListBullet"/>
        <w:spacing w:line="276" w:lineRule="auto" w:after="80"/>
        <w:ind w:left="576"/>
      </w:pPr>
      <w:r>
        <w:rPr>
          <w:rFonts w:ascii="Times New Roman" w:hAnsi="Times New Roman"/>
          <w:b/>
          <w:sz w:val="24"/>
        </w:rPr>
        <w:t xml:space="preserve">2. Lack of Dynamic Patient Sovereignty: </w:t>
      </w:r>
      <w:r>
        <w:rPr>
          <w:rFonts w:ascii="Times New Roman" w:hAnsi="Times New Roman"/>
          <w:sz w:val="24"/>
        </w:rPr>
        <w:t xml:space="preserve"> Most systems implement coarse, static permission levels managed by institutional administrators rather than the patients themselves. Patients cannot dynamically grant, time-limit, or instantly revoke access to specific medical specialists.</w:t>
      </w:r>
    </w:p>
    <w:p>
      <w:pPr>
        <w:pStyle w:val="ListBullet"/>
        <w:spacing w:line="276" w:lineRule="auto" w:after="80"/>
        <w:ind w:left="576"/>
      </w:pPr>
      <w:r>
        <w:rPr>
          <w:rFonts w:ascii="Times New Roman" w:hAnsi="Times New Roman"/>
          <w:b/>
          <w:sz w:val="24"/>
        </w:rPr>
        <w:t xml:space="preserve">3. Prohibitive On-Chain Storage Costs: </w:t>
      </w:r>
      <w:r>
        <w:rPr>
          <w:rFonts w:ascii="Times New Roman" w:hAnsi="Times New Roman"/>
          <w:sz w:val="24"/>
        </w:rPr>
        <w:t xml:space="preserve"> Naive blockchain implementations attempt to store large clinical payloads on-chain, leading to exorbitant transaction fees and severe network congestion. A hybrid off-chain storage model with constant O(1) gas overhead is essential.</w:t>
      </w:r>
    </w:p>
    <w:p>
      <w:pPr>
        <w:pStyle w:val="ListBullet"/>
        <w:spacing w:line="276" w:lineRule="auto" w:after="80"/>
        <w:ind w:left="576"/>
      </w:pPr>
      <w:r>
        <w:rPr>
          <w:rFonts w:ascii="Times New Roman" w:hAnsi="Times New Roman"/>
          <w:b/>
          <w:sz w:val="24"/>
        </w:rPr>
        <w:t xml:space="preserve">4. Absence of Practitioner Verification: </w:t>
      </w:r>
      <w:r>
        <w:rPr>
          <w:rFonts w:ascii="Times New Roman" w:hAnsi="Times New Roman"/>
          <w:sz w:val="24"/>
        </w:rPr>
        <w:t xml:space="preserve"> Many academic prototypes assume all registered wallet addresses are trustworthy doctors without validating real-world medical licenses through hospital governance authorities.</w:t>
      </w:r>
    </w:p>
    <w:p>
      <w:pPr>
        <w:keepNext/>
        <w:spacing w:before="280" w:after="120" w:line="360" w:lineRule="auto"/>
      </w:pPr>
      <w:r>
        <w:rPr>
          <w:rFonts w:ascii="Times New Roman" w:hAnsi="Times New Roman"/>
          <w:b/>
          <w:color w:val="0F172A"/>
          <w:sz w:val="26"/>
        </w:rPr>
        <w:t>2.3 Objectives</w:t>
      </w:r>
    </w:p>
    <w:p>
      <w:pPr>
        <w:spacing w:line="276" w:lineRule="auto" w:after="120"/>
        <w:jc w:val="both"/>
      </w:pPr>
      <w:r>
        <w:rPr>
          <w:rFonts w:ascii="Times New Roman" w:hAnsi="Times New Roman"/>
          <w:color w:val="1E293B"/>
          <w:sz w:val="24"/>
        </w:rPr>
        <w:t>The specific, measurable, achievable, relevant, and time-bound (SMART) objectives of the CareChain project are formulated as follows:</w:t>
      </w:r>
    </w:p>
    <w:p>
      <w:pPr>
        <w:pStyle w:val="ListBullet"/>
        <w:spacing w:line="276" w:lineRule="auto" w:after="80"/>
        <w:ind w:left="576"/>
      </w:pPr>
      <w:r>
        <w:rPr>
          <w:rFonts w:ascii="Times New Roman" w:hAnsi="Times New Roman"/>
          <w:b/>
          <w:sz w:val="24"/>
        </w:rPr>
        <w:t xml:space="preserve">Objective 1 (Smart Contract Access Governance): </w:t>
      </w:r>
      <w:r>
        <w:rPr>
          <w:rFonts w:ascii="Times New Roman" w:hAnsi="Times New Roman"/>
          <w:sz w:val="24"/>
        </w:rPr>
        <w:t xml:space="preserve"> Develop, test, and deploy Solidity smart contract MedicalRecord.sol on EVM-compatible testnets to govern doctor permissions, practitioner licensing registries, and immutable audit logs.</w:t>
      </w:r>
    </w:p>
    <w:p>
      <w:pPr>
        <w:pStyle w:val="ListBullet"/>
        <w:spacing w:line="276" w:lineRule="auto" w:after="80"/>
        <w:ind w:left="576"/>
      </w:pPr>
      <w:r>
        <w:rPr>
          <w:rFonts w:ascii="Times New Roman" w:hAnsi="Times New Roman"/>
          <w:b/>
          <w:sz w:val="24"/>
        </w:rPr>
        <w:t xml:space="preserve">Objective 2 (Client-Side Cryptography): </w:t>
      </w:r>
      <w:r>
        <w:rPr>
          <w:rFonts w:ascii="Times New Roman" w:hAnsi="Times New Roman"/>
          <w:sz w:val="24"/>
        </w:rPr>
        <w:t xml:space="preserve"> Implement a zero-trust cryptographic engine executing AES-256-GCM symmetric buffer encryption on the client side with 12-byte initialization vectors and 16-byte authentication tags.</w:t>
      </w:r>
    </w:p>
    <w:p>
      <w:pPr>
        <w:pStyle w:val="ListBullet"/>
        <w:spacing w:line="276" w:lineRule="auto" w:after="80"/>
        <w:ind w:left="576"/>
      </w:pPr>
      <w:r>
        <w:rPr>
          <w:rFonts w:ascii="Times New Roman" w:hAnsi="Times New Roman"/>
          <w:b/>
          <w:sz w:val="24"/>
        </w:rPr>
        <w:t xml:space="preserve">Objective 3 (Decentralized Storage Integration): </w:t>
      </w:r>
      <w:r>
        <w:rPr>
          <w:rFonts w:ascii="Times New Roman" w:hAnsi="Times New Roman"/>
          <w:sz w:val="24"/>
        </w:rPr>
        <w:t xml:space="preserve"> Integrate decentralized IPFS storage via Pinata pinning gateways to store encrypted clinical files and generate immutable 46-byte Content Identifiers (CIDs).</w:t>
      </w:r>
    </w:p>
    <w:p>
      <w:pPr>
        <w:pStyle w:val="ListBullet"/>
        <w:spacing w:line="276" w:lineRule="auto" w:after="80"/>
        <w:ind w:left="576"/>
      </w:pPr>
      <w:r>
        <w:rPr>
          <w:rFonts w:ascii="Times New Roman" w:hAnsi="Times New Roman"/>
          <w:b/>
          <w:sz w:val="24"/>
        </w:rPr>
        <w:t xml:space="preserve">Objective 4 (Full-Stack Web3 Application): </w:t>
      </w:r>
      <w:r>
        <w:rPr>
          <w:rFonts w:ascii="Times New Roman" w:hAnsi="Times New Roman"/>
          <w:sz w:val="24"/>
        </w:rPr>
        <w:t xml:space="preserve"> Construct responsive, role-based Web3 interfaces for Patients, Doctors, and Hospital Administrators with MetaMask wallet signing and comprehensive telemetry monitoring.</w:t>
      </w:r>
    </w:p>
    <w:p>
      <w:pPr>
        <w:spacing w:line="276" w:lineRule="auto" w:after="120"/>
        <w:jc w:val="both"/>
      </w:pPr>
      <w:r>
        <w:rPr>
          <w:rFonts w:ascii="Times New Roman" w:hAnsi="Times New Roman"/>
          <w:b/>
          <w:color w:val="0F172A"/>
          <w:sz w:val="24"/>
        </w:rPr>
        <w:t xml:space="preserve">Global Sustainability Mapping: </w:t>
      </w:r>
      <w:r>
        <w:rPr>
          <w:rFonts w:ascii="Times New Roman" w:hAnsi="Times New Roman"/>
          <w:color w:val="1E293B"/>
          <w:sz w:val="24"/>
        </w:rPr>
        <w:t>Project Alignment with UN Sustainable Development Goals (SDGs):</w:t>
      </w:r>
    </w:p>
    <w:p>
      <w:pPr>
        <w:pStyle w:val="ListBullet"/>
        <w:spacing w:line="276" w:lineRule="auto" w:after="80"/>
        <w:ind w:left="576"/>
      </w:pPr>
      <w:r>
        <w:rPr>
          <w:rFonts w:ascii="Times New Roman" w:hAnsi="Times New Roman"/>
          <w:sz w:val="24"/>
        </w:rPr>
        <w:t xml:space="preserve"> SDG 3 (Target 3.8): Good Health and Well-Being – Provides portable, tamper-proof medical records across hospital boundaries, minimizing fatal diagnostic mistakes and redundant clinical tests.</w:t>
      </w:r>
    </w:p>
    <w:p>
      <w:pPr>
        <w:pStyle w:val="ListBullet"/>
        <w:spacing w:line="276" w:lineRule="auto" w:after="80"/>
        <w:ind w:left="576"/>
      </w:pPr>
      <w:r>
        <w:rPr>
          <w:rFonts w:ascii="Times New Roman" w:hAnsi="Times New Roman"/>
          <w:sz w:val="24"/>
        </w:rPr>
        <w:t xml:space="preserve"> SDG 9 (Target 9.5): Industry, Innovation and Infrastructure – Upgrades vulnerable legacy healthcare infrastructure into resilient decentralized architectures.</w:t>
      </w:r>
    </w:p>
    <w:p>
      <w:pPr>
        <w:spacing w:line="276" w:lineRule="auto" w:after="120"/>
        <w:jc w:val="both"/>
      </w:pPr>
      <w:r>
        <w:rPr>
          <w:rFonts w:ascii="Times New Roman" w:hAnsi="Times New Roman"/>
          <w:color w:val="1E293B"/>
          <w:sz w:val="24"/>
        </w:rPr>
        <w:t>Targeted Technology Readiness Level: TRL 6 (System prototype demonstrated in relevant operational environment). Expected Outcomes include a functional open-source codebase, verified smart contracts, and a Scopus-indexed research paper draft.</w:t>
      </w:r>
    </w:p>
    <w:p>
      <w:pPr>
        <w:keepNext/>
        <w:spacing w:before="280" w:after="120" w:line="360" w:lineRule="auto"/>
      </w:pPr>
      <w:r>
        <w:rPr>
          <w:rFonts w:ascii="Times New Roman" w:hAnsi="Times New Roman"/>
          <w:b/>
          <w:color w:val="0F172A"/>
          <w:sz w:val="26"/>
        </w:rPr>
        <w:t>2.4 Problem Statement</w:t>
      </w:r>
    </w:p>
    <w:p>
      <w:pPr>
        <w:spacing w:line="276" w:lineRule="auto" w:after="120"/>
        <w:jc w:val="both"/>
      </w:pPr>
      <w:r>
        <w:rPr>
          <w:rFonts w:ascii="Times New Roman" w:hAnsi="Times New Roman"/>
          <w:color w:val="1E293B"/>
          <w:sz w:val="24"/>
        </w:rPr>
        <w:t>To design, develop, and benchmark a decentralized, patient-centric Electronic Health Record (EHR) management system that eliminates centralized single points of failure and unauthorized data exploitation. The system must provide client-side AES-256-GCM encryption, decentralized off-chain IPFS storage, on-chain smart contract access control with instant permission revocation, and full compliance with HIPAA Security Rule (§164.312) and GDPR Article 17 standards.</w:t>
      </w:r>
    </w:p>
    <w:p>
      <w:pPr>
        <w:keepNext/>
        <w:spacing w:before="280" w:after="120" w:line="360" w:lineRule="auto"/>
      </w:pPr>
      <w:r>
        <w:rPr>
          <w:rFonts w:ascii="Times New Roman" w:hAnsi="Times New Roman"/>
          <w:b/>
          <w:color w:val="0F172A"/>
          <w:sz w:val="26"/>
        </w:rPr>
        <w:t>2.5 Project Plan</w:t>
      </w:r>
    </w:p>
    <w:p>
      <w:pPr>
        <w:spacing w:line="276" w:lineRule="auto" w:after="120"/>
        <w:jc w:val="both"/>
      </w:pPr>
      <w:r>
        <w:rPr>
          <w:rFonts w:ascii="Times New Roman" w:hAnsi="Times New Roman"/>
          <w:color w:val="1E293B"/>
          <w:sz w:val="24"/>
        </w:rPr>
        <w:t>The project implementation plan spans 17 weeks across the Fall Semester 2026-27 (July to October 2026). The project breakdown and milestone progression are depicted in the Gantt chart below:</w:t>
      </w:r>
    </w:p>
    <w:p>
      <w:pPr>
        <w:spacing w:before="200" w:after="80"/>
        <w:jc w:val="center"/>
      </w:pPr>
      <w:r>
        <w:drawing>
          <wp:inline xmlns:a="http://schemas.openxmlformats.org/drawingml/2006/main" xmlns:pic="http://schemas.openxmlformats.org/drawingml/2006/picture">
            <wp:extent cx="5669280" cy="2587578"/>
            <wp:docPr id="1" name="Picture 1"/>
            <wp:cNvGraphicFramePr>
              <a:graphicFrameLocks noChangeAspect="1"/>
            </wp:cNvGraphicFramePr>
            <a:graphic>
              <a:graphicData uri="http://schemas.openxmlformats.org/drawingml/2006/picture">
                <pic:pic>
                  <pic:nvPicPr>
                    <pic:cNvPr id="0" name="gantt_chart.png"/>
                    <pic:cNvPicPr/>
                  </pic:nvPicPr>
                  <pic:blipFill>
                    <a:blip r:embed="rId9"/>
                    <a:stretch>
                      <a:fillRect/>
                    </a:stretch>
                  </pic:blipFill>
                  <pic:spPr>
                    <a:xfrm>
                      <a:off x="0" y="0"/>
                      <a:ext cx="5669280" cy="2587578"/>
                    </a:xfrm>
                    <a:prstGeom prst="rect"/>
                  </pic:spPr>
                </pic:pic>
              </a:graphicData>
            </a:graphic>
          </wp:inline>
        </w:drawing>
      </w:r>
    </w:p>
    <w:p>
      <w:pPr>
        <w:spacing w:after="240"/>
        <w:jc w:val="center"/>
      </w:pPr>
      <w:r>
        <w:rPr>
          <w:rFonts w:ascii="Times New Roman" w:hAnsi="Times New Roman"/>
          <w:b/>
          <w:i/>
          <w:color w:val="475569"/>
          <w:sz w:val="22"/>
        </w:rPr>
        <w:t>Fig. 2.1: CareChain Project Implementation Work Breakdown &amp; Gantt Chart</w:t>
      </w:r>
    </w:p>
    <w:p>
      <w:r>
        <w:br w:type="page"/>
      </w:r>
    </w:p>
    <w:p>
      <w:pPr>
        <w:keepNext/>
        <w:spacing w:before="360" w:after="160" w:line="360" w:lineRule="auto"/>
      </w:pPr>
      <w:r>
        <w:rPr>
          <w:rFonts w:ascii="Times New Roman" w:hAnsi="Times New Roman"/>
          <w:b/>
          <w:color w:val="1F4E79"/>
          <w:sz w:val="28"/>
        </w:rPr>
        <w:t>3. TECHNICAL SPECIFICATION</w:t>
      </w:r>
    </w:p>
    <w:p>
      <w:pPr>
        <w:keepNext/>
        <w:spacing w:before="280" w:after="120" w:line="360" w:lineRule="auto"/>
      </w:pPr>
      <w:r>
        <w:rPr>
          <w:rFonts w:ascii="Times New Roman" w:hAnsi="Times New Roman"/>
          <w:b/>
          <w:color w:val="0F172A"/>
          <w:sz w:val="26"/>
        </w:rPr>
        <w:t>3.1 Requirements</w:t>
      </w:r>
    </w:p>
    <w:p>
      <w:pPr>
        <w:keepNext/>
        <w:spacing w:before="200" w:after="80" w:line="360" w:lineRule="auto"/>
      </w:pPr>
      <w:r>
        <w:rPr>
          <w:rFonts w:ascii="Times New Roman" w:hAnsi="Times New Roman"/>
          <w:b/>
          <w:i/>
          <w:color w:val="334155"/>
          <w:sz w:val="24"/>
        </w:rPr>
        <w:t>3.1.1 Functional Requirements</w:t>
      </w:r>
    </w:p>
    <w:p>
      <w:pPr>
        <w:pStyle w:val="ListBullet"/>
        <w:spacing w:line="276" w:lineRule="auto" w:after="80"/>
        <w:ind w:left="576"/>
      </w:pPr>
      <w:r>
        <w:rPr>
          <w:rFonts w:ascii="Times New Roman" w:hAnsi="Times New Roman"/>
          <w:b/>
          <w:sz w:val="24"/>
        </w:rPr>
        <w:t xml:space="preserve">FR1 (Patient Vault &amp; Registration): </w:t>
      </w:r>
      <w:r>
        <w:rPr>
          <w:rFonts w:ascii="Times New Roman" w:hAnsi="Times New Roman"/>
          <w:sz w:val="24"/>
        </w:rPr>
        <w:t xml:space="preserve"> The system shall allow patients to register, authenticate via Web3 wallet (MetaMask) or JWT credentials, and manage their personal health profile.</w:t>
      </w:r>
    </w:p>
    <w:p>
      <w:pPr>
        <w:pStyle w:val="ListBullet"/>
        <w:spacing w:line="276" w:lineRule="auto" w:after="80"/>
        <w:ind w:left="576"/>
      </w:pPr>
      <w:r>
        <w:rPr>
          <w:rFonts w:ascii="Times New Roman" w:hAnsi="Times New Roman"/>
          <w:b/>
          <w:sz w:val="24"/>
        </w:rPr>
        <w:t xml:space="preserve">FR2 (Encrypted Record Ingestion): </w:t>
      </w:r>
      <w:r>
        <w:rPr>
          <w:rFonts w:ascii="Times New Roman" w:hAnsi="Times New Roman"/>
          <w:sz w:val="24"/>
        </w:rPr>
        <w:t xml:space="preserve"> The system shall encrypt medical records and diagnostic files using AES-256-GCM symmetric encryption prior to off-chain IPFS pinning.</w:t>
      </w:r>
    </w:p>
    <w:p>
      <w:pPr>
        <w:pStyle w:val="ListBullet"/>
        <w:spacing w:line="276" w:lineRule="auto" w:after="80"/>
        <w:ind w:left="576"/>
      </w:pPr>
      <w:r>
        <w:rPr>
          <w:rFonts w:ascii="Times New Roman" w:hAnsi="Times New Roman"/>
          <w:b/>
          <w:sz w:val="24"/>
        </w:rPr>
        <w:t xml:space="preserve">FR3 (Dynamic Access Delegation): </w:t>
      </w:r>
      <w:r>
        <w:rPr>
          <w:rFonts w:ascii="Times New Roman" w:hAnsi="Times New Roman"/>
          <w:sz w:val="24"/>
        </w:rPr>
        <w:t xml:space="preserve"> The system shall permit patients to grant or revoke read access to verified medical practitioners by executing on-chain transactions that update doctorPermissions.</w:t>
      </w:r>
    </w:p>
    <w:p>
      <w:pPr>
        <w:pStyle w:val="ListBullet"/>
        <w:spacing w:line="276" w:lineRule="auto" w:after="80"/>
        <w:ind w:left="576"/>
      </w:pPr>
      <w:r>
        <w:rPr>
          <w:rFonts w:ascii="Times New Roman" w:hAnsi="Times New Roman"/>
          <w:b/>
          <w:sz w:val="24"/>
        </w:rPr>
        <w:t xml:space="preserve">FR4 (Practitioner Clinical Workflow): </w:t>
      </w:r>
      <w:r>
        <w:rPr>
          <w:rFonts w:ascii="Times New Roman" w:hAnsi="Times New Roman"/>
          <w:sz w:val="24"/>
        </w:rPr>
        <w:t xml:space="preserve"> The system shall allow authorized, verified doctors to query patient records, decrypt medical documents, and issue clinical diagnosis notes.</w:t>
      </w:r>
    </w:p>
    <w:p>
      <w:pPr>
        <w:pStyle w:val="ListBullet"/>
        <w:spacing w:line="276" w:lineRule="auto" w:after="80"/>
        <w:ind w:left="576"/>
      </w:pPr>
      <w:r>
        <w:rPr>
          <w:rFonts w:ascii="Times New Roman" w:hAnsi="Times New Roman"/>
          <w:b/>
          <w:sz w:val="24"/>
        </w:rPr>
        <w:t xml:space="preserve">FR5 (Administrative Governance): </w:t>
      </w:r>
      <w:r>
        <w:rPr>
          <w:rFonts w:ascii="Times New Roman" w:hAnsi="Times New Roman"/>
          <w:sz w:val="24"/>
        </w:rPr>
        <w:t xml:space="preserve"> The system shall provide hospital administrators with governance capabilities to verify medical practitioner credentials and hospital affiliations.</w:t>
      </w:r>
    </w:p>
    <w:p>
      <w:pPr>
        <w:pStyle w:val="ListBullet"/>
        <w:spacing w:line="276" w:lineRule="auto" w:after="80"/>
        <w:ind w:left="576"/>
      </w:pPr>
      <w:r>
        <w:rPr>
          <w:rFonts w:ascii="Times New Roman" w:hAnsi="Times New Roman"/>
          <w:b/>
          <w:sz w:val="24"/>
        </w:rPr>
        <w:t xml:space="preserve">FR6 (Audit Logging &amp; Event Emission): </w:t>
      </w:r>
      <w:r>
        <w:rPr>
          <w:rFonts w:ascii="Times New Roman" w:hAnsi="Times New Roman"/>
          <w:sz w:val="24"/>
        </w:rPr>
        <w:t xml:space="preserve"> The system shall emit immutable blockchain events (RecordAdded, AccessGranted, AccessRevoked) for all state modifications to maintain a tamper-proof audit trail.</w:t>
      </w:r>
    </w:p>
    <w:p>
      <w:pPr>
        <w:keepNext/>
        <w:spacing w:before="200" w:after="80" w:line="360" w:lineRule="auto"/>
      </w:pPr>
      <w:r>
        <w:rPr>
          <w:rFonts w:ascii="Times New Roman" w:hAnsi="Times New Roman"/>
          <w:b/>
          <w:i/>
          <w:color w:val="334155"/>
          <w:sz w:val="24"/>
        </w:rPr>
        <w:t>3.1.2 Non-Functional Requirements</w:t>
      </w:r>
    </w:p>
    <w:p>
      <w:pPr>
        <w:pStyle w:val="ListBullet"/>
        <w:spacing w:line="276" w:lineRule="auto" w:after="80"/>
        <w:ind w:left="576"/>
      </w:pPr>
      <w:r>
        <w:rPr>
          <w:rFonts w:ascii="Times New Roman" w:hAnsi="Times New Roman"/>
          <w:b/>
          <w:sz w:val="24"/>
        </w:rPr>
        <w:t xml:space="preserve">NFR1 (Security &amp; Privacy): </w:t>
      </w:r>
      <w:r>
        <w:rPr>
          <w:rFonts w:ascii="Times New Roman" w:hAnsi="Times New Roman"/>
          <w:sz w:val="24"/>
        </w:rPr>
        <w:t xml:space="preserve"> The system must utilize AES-256-GCM symmetric buffer encryption, 12-byte initialization vectors, 16-byte authentication tags, and private key isolation. Zero unprotected PHI shall reach the blockchain or unencrypted storage.</w:t>
      </w:r>
    </w:p>
    <w:p>
      <w:pPr>
        <w:pStyle w:val="ListBullet"/>
        <w:spacing w:line="276" w:lineRule="auto" w:after="80"/>
        <w:ind w:left="576"/>
      </w:pPr>
      <w:r>
        <w:rPr>
          <w:rFonts w:ascii="Times New Roman" w:hAnsi="Times New Roman"/>
          <w:b/>
          <w:sz w:val="24"/>
        </w:rPr>
        <w:t xml:space="preserve">NFR2 (Performance &amp; Latency): </w:t>
      </w:r>
      <w:r>
        <w:rPr>
          <w:rFonts w:ascii="Times New Roman" w:hAnsi="Times New Roman"/>
          <w:sz w:val="24"/>
        </w:rPr>
        <w:t xml:space="preserve"> Client-side encryption of 10MB payloads must complete in under 25ms. IPFS file pinning must complete in under 2.5s. Smart contract permission verification must execute in O(1) constant time.</w:t>
      </w:r>
    </w:p>
    <w:p>
      <w:pPr>
        <w:pStyle w:val="ListBullet"/>
        <w:spacing w:line="276" w:lineRule="auto" w:after="80"/>
        <w:ind w:left="576"/>
      </w:pPr>
      <w:r>
        <w:rPr>
          <w:rFonts w:ascii="Times New Roman" w:hAnsi="Times New Roman"/>
          <w:b/>
          <w:sz w:val="24"/>
        </w:rPr>
        <w:t xml:space="preserve">NFR3 (Scalability): </w:t>
      </w:r>
      <w:r>
        <w:rPr>
          <w:rFonts w:ascii="Times New Roman" w:hAnsi="Times New Roman"/>
          <w:sz w:val="24"/>
        </w:rPr>
        <w:t xml:space="preserve"> Storing only 46-byte IPFS CIDs on-chain ensures gas consumption remains completely independent of medical file size.</w:t>
      </w:r>
    </w:p>
    <w:p>
      <w:pPr>
        <w:pStyle w:val="ListBullet"/>
        <w:spacing w:line="276" w:lineRule="auto" w:after="80"/>
        <w:ind w:left="576"/>
      </w:pPr>
      <w:r>
        <w:rPr>
          <w:rFonts w:ascii="Times New Roman" w:hAnsi="Times New Roman"/>
          <w:b/>
          <w:sz w:val="24"/>
        </w:rPr>
        <w:t xml:space="preserve">NFR4 (Availability &amp; Reliability): </w:t>
      </w:r>
      <w:r>
        <w:rPr>
          <w:rFonts w:ascii="Times New Roman" w:hAnsi="Times New Roman"/>
          <w:sz w:val="24"/>
        </w:rPr>
        <w:t xml:space="preserve"> The decentralized IPFS pinning cluster and redundant RPC endpoints ensure 99.9% high availability.</w:t>
      </w:r>
    </w:p>
    <w:p>
      <w:pPr>
        <w:pStyle w:val="ListBullet"/>
        <w:spacing w:line="276" w:lineRule="auto" w:after="80"/>
        <w:ind w:left="576"/>
      </w:pPr>
      <w:r>
        <w:rPr>
          <w:rFonts w:ascii="Times New Roman" w:hAnsi="Times New Roman"/>
          <w:b/>
          <w:sz w:val="24"/>
        </w:rPr>
        <w:t xml:space="preserve">NFR5 (Usability): </w:t>
      </w:r>
      <w:r>
        <w:rPr>
          <w:rFonts w:ascii="Times New Roman" w:hAnsi="Times New Roman"/>
          <w:sz w:val="24"/>
        </w:rPr>
        <w:t xml:space="preserve"> The user interface must provide responsive, intuitive navigation across desktop and tablet viewports with sub-200ms page transitions.</w:t>
      </w:r>
    </w:p>
    <w:p>
      <w:pPr>
        <w:pStyle w:val="ListBullet"/>
        <w:spacing w:line="276" w:lineRule="auto" w:after="80"/>
        <w:ind w:left="576"/>
      </w:pPr>
      <w:r>
        <w:rPr>
          <w:rFonts w:ascii="Times New Roman" w:hAnsi="Times New Roman"/>
          <w:b/>
          <w:sz w:val="24"/>
        </w:rPr>
        <w:t xml:space="preserve">NFR6 (Regulatory Compliance): </w:t>
      </w:r>
      <w:r>
        <w:rPr>
          <w:rFonts w:ascii="Times New Roman" w:hAnsi="Times New Roman"/>
          <w:sz w:val="24"/>
        </w:rPr>
        <w:t xml:space="preserve"> Full architectural compliance with HIPAA Security Rule (§164.312) and GDPR Article 17 (Right to Erasure via Crypto-Shredding).</w:t>
      </w:r>
    </w:p>
    <w:p>
      <w:pPr>
        <w:keepNext/>
        <w:spacing w:before="280" w:after="120" w:line="360" w:lineRule="auto"/>
      </w:pPr>
      <w:r>
        <w:rPr>
          <w:rFonts w:ascii="Times New Roman" w:hAnsi="Times New Roman"/>
          <w:b/>
          <w:color w:val="0F172A"/>
          <w:sz w:val="26"/>
        </w:rPr>
        <w:t>3.2 Feasibility Study</w:t>
      </w:r>
    </w:p>
    <w:p>
      <w:pPr>
        <w:keepNext/>
        <w:spacing w:before="200" w:after="80" w:line="360" w:lineRule="auto"/>
      </w:pPr>
      <w:r>
        <w:rPr>
          <w:rFonts w:ascii="Times New Roman" w:hAnsi="Times New Roman"/>
          <w:b/>
          <w:i/>
          <w:color w:val="334155"/>
          <w:sz w:val="24"/>
        </w:rPr>
        <w:t>3.2.1 Technical Feasibility</w:t>
      </w:r>
    </w:p>
    <w:p>
      <w:pPr>
        <w:spacing w:line="276" w:lineRule="auto" w:after="120"/>
        <w:jc w:val="both"/>
      </w:pPr>
      <w:r>
        <w:rPr>
          <w:rFonts w:ascii="Times New Roman" w:hAnsi="Times New Roman"/>
          <w:color w:val="1E293B"/>
          <w:sz w:val="24"/>
        </w:rPr>
        <w:t>The technical feasibility of CareChain is fully established. The platform leverages mature, production-proven technologies: Solidity (v0.8.20) for smart contracts, Hardhat for automated testing, Node.js/Express for backend gateway routing, Ethers.js (v6) for Web3 RPC communication, Pinata IPFS for decentralized pinning, and React 18 with Tailwind CSS for responsive user interfaces. Automated test execution confirms 100% smart contract code reliability.</w:t>
      </w:r>
    </w:p>
    <w:p>
      <w:pPr>
        <w:keepNext/>
        <w:spacing w:before="200" w:after="80" w:line="360" w:lineRule="auto"/>
      </w:pPr>
      <w:r>
        <w:rPr>
          <w:rFonts w:ascii="Times New Roman" w:hAnsi="Times New Roman"/>
          <w:b/>
          <w:i/>
          <w:color w:val="334155"/>
          <w:sz w:val="24"/>
        </w:rPr>
        <w:t>3.2.2 Economic Feasibility</w:t>
      </w:r>
    </w:p>
    <w:p>
      <w:pPr>
        <w:spacing w:line="276" w:lineRule="auto" w:after="120"/>
        <w:jc w:val="both"/>
      </w:pPr>
      <w:r>
        <w:rPr>
          <w:rFonts w:ascii="Times New Roman" w:hAnsi="Times New Roman"/>
          <w:color w:val="1E293B"/>
          <w:sz w:val="24"/>
        </w:rPr>
        <w:t>CareChain achieves exceptional economic efficiency. By adopting a hybrid architecture, medical records are never placed directly on-chain, avoiding prohibitive Ethereum gas storage fees. A 10MB radiological scan costs zero gas to store on IPFS, requiring only a single lightweight on-chain transaction (~124k gas units on Layer-2 Polygon networks, costing less than $0.01). Open-source frameworks eliminate recurring software licensing expenses.</w:t>
      </w:r>
    </w:p>
    <w:p>
      <w:pPr>
        <w:keepNext/>
        <w:spacing w:before="200" w:after="80" w:line="360" w:lineRule="auto"/>
      </w:pPr>
      <w:r>
        <w:rPr>
          <w:rFonts w:ascii="Times New Roman" w:hAnsi="Times New Roman"/>
          <w:b/>
          <w:i/>
          <w:color w:val="334155"/>
          <w:sz w:val="24"/>
        </w:rPr>
        <w:t>3.2.3 Social &amp; Regulatory Feasibility</w:t>
      </w:r>
    </w:p>
    <w:p>
      <w:pPr>
        <w:spacing w:line="276" w:lineRule="auto" w:after="120"/>
        <w:jc w:val="both"/>
      </w:pPr>
      <w:r>
        <w:rPr>
          <w:rFonts w:ascii="Times New Roman" w:hAnsi="Times New Roman"/>
          <w:color w:val="1E293B"/>
          <w:sz w:val="24"/>
        </w:rPr>
        <w:t>CareChain directly aligns with modern ethical guidelines and international patient data privacy rights. By establishing patient sovereignty over medical history, the platform prevents unauthorized commercial exploitation of clinical data. The crypto-shredding model fulfills GDPR Article 17 requirements by ensuring that when a patient destroys their decryption key, all off-chain ciphertexts become permanently irrecoverable.</w:t>
      </w:r>
    </w:p>
    <w:p>
      <w:pPr>
        <w:keepNext/>
        <w:spacing w:before="280" w:after="120" w:line="360" w:lineRule="auto"/>
      </w:pPr>
      <w:r>
        <w:rPr>
          <w:rFonts w:ascii="Times New Roman" w:hAnsi="Times New Roman"/>
          <w:b/>
          <w:color w:val="0F172A"/>
          <w:sz w:val="26"/>
        </w:rPr>
        <w:t>3.3 System Specification</w:t>
      </w:r>
    </w:p>
    <w:p>
      <w:pPr>
        <w:keepNext/>
        <w:spacing w:before="200" w:after="80" w:line="360" w:lineRule="auto"/>
      </w:pPr>
      <w:r>
        <w:rPr>
          <w:rFonts w:ascii="Times New Roman" w:hAnsi="Times New Roman"/>
          <w:b/>
          <w:i/>
          <w:color w:val="334155"/>
          <w:sz w:val="24"/>
        </w:rPr>
        <w:t>3.3.1 Hardware Specification</w:t>
      </w:r>
    </w:p>
    <w:p>
      <w:pPr>
        <w:pStyle w:val="ListBullet"/>
        <w:spacing w:line="276" w:lineRule="auto" w:after="80"/>
        <w:ind w:left="576"/>
      </w:pPr>
      <w:r>
        <w:rPr>
          <w:rFonts w:ascii="Times New Roman" w:hAnsi="Times New Roman"/>
          <w:b/>
          <w:sz w:val="24"/>
        </w:rPr>
        <w:t xml:space="preserve">Processor: </w:t>
      </w:r>
      <w:r>
        <w:rPr>
          <w:rFonts w:ascii="Times New Roman" w:hAnsi="Times New Roman"/>
          <w:sz w:val="24"/>
        </w:rPr>
        <w:t xml:space="preserve"> Intel Core i5 / AMD Ryzen 5 processor or higher (quad-core 2.4 GHz+).</w:t>
      </w:r>
    </w:p>
    <w:p>
      <w:pPr>
        <w:pStyle w:val="ListBullet"/>
        <w:spacing w:line="276" w:lineRule="auto" w:after="80"/>
        <w:ind w:left="576"/>
      </w:pPr>
      <w:r>
        <w:rPr>
          <w:rFonts w:ascii="Times New Roman" w:hAnsi="Times New Roman"/>
          <w:b/>
          <w:sz w:val="24"/>
        </w:rPr>
        <w:t xml:space="preserve">RAM: </w:t>
      </w:r>
      <w:r>
        <w:rPr>
          <w:rFonts w:ascii="Times New Roman" w:hAnsi="Times New Roman"/>
          <w:sz w:val="24"/>
        </w:rPr>
        <w:t xml:space="preserve"> 8 GB minimum (16 GB recommended for local EVM node execution).</w:t>
      </w:r>
    </w:p>
    <w:p>
      <w:pPr>
        <w:pStyle w:val="ListBullet"/>
        <w:spacing w:line="276" w:lineRule="auto" w:after="80"/>
        <w:ind w:left="576"/>
      </w:pPr>
      <w:r>
        <w:rPr>
          <w:rFonts w:ascii="Times New Roman" w:hAnsi="Times New Roman"/>
          <w:b/>
          <w:sz w:val="24"/>
        </w:rPr>
        <w:t xml:space="preserve">Storage: </w:t>
      </w:r>
      <w:r>
        <w:rPr>
          <w:rFonts w:ascii="Times New Roman" w:hAnsi="Times New Roman"/>
          <w:sz w:val="24"/>
        </w:rPr>
        <w:t xml:space="preserve"> 256 GB SSD (Solid State Drive) with 10 GB free space for blockchain state.</w:t>
      </w:r>
    </w:p>
    <w:p>
      <w:pPr>
        <w:pStyle w:val="ListBullet"/>
        <w:spacing w:line="276" w:lineRule="auto" w:after="80"/>
        <w:ind w:left="576"/>
      </w:pPr>
      <w:r>
        <w:rPr>
          <w:rFonts w:ascii="Times New Roman" w:hAnsi="Times New Roman"/>
          <w:b/>
          <w:sz w:val="24"/>
        </w:rPr>
        <w:t xml:space="preserve">Network: </w:t>
      </w:r>
      <w:r>
        <w:rPr>
          <w:rFonts w:ascii="Times New Roman" w:hAnsi="Times New Roman"/>
          <w:sz w:val="24"/>
        </w:rPr>
        <w:t xml:space="preserve"> Broadband Internet connection (&gt; 20 Mbps) for IPFS gateway and RPC synchronization.</w:t>
      </w:r>
    </w:p>
    <w:p>
      <w:pPr>
        <w:keepNext/>
        <w:spacing w:before="200" w:after="80" w:line="360" w:lineRule="auto"/>
      </w:pPr>
      <w:r>
        <w:rPr>
          <w:rFonts w:ascii="Times New Roman" w:hAnsi="Times New Roman"/>
          <w:b/>
          <w:i/>
          <w:color w:val="334155"/>
          <w:sz w:val="24"/>
        </w:rPr>
        <w:t>3.3.2 Software Specification</w:t>
      </w:r>
    </w:p>
    <w:p>
      <w:pPr>
        <w:pStyle w:val="ListBullet"/>
        <w:spacing w:line="276" w:lineRule="auto" w:after="80"/>
        <w:ind w:left="576"/>
      </w:pPr>
      <w:r>
        <w:rPr>
          <w:rFonts w:ascii="Times New Roman" w:hAnsi="Times New Roman"/>
          <w:b/>
          <w:sz w:val="24"/>
        </w:rPr>
        <w:t xml:space="preserve">Operating System: </w:t>
      </w:r>
      <w:r>
        <w:rPr>
          <w:rFonts w:ascii="Times New Roman" w:hAnsi="Times New Roman"/>
          <w:sz w:val="24"/>
        </w:rPr>
        <w:t xml:space="preserve"> Microsoft Windows 11 / Ubuntu Linux 22.04 LTS / macOS Sonoma.</w:t>
      </w:r>
    </w:p>
    <w:p>
      <w:pPr>
        <w:pStyle w:val="ListBullet"/>
        <w:spacing w:line="276" w:lineRule="auto" w:after="80"/>
        <w:ind w:left="576"/>
      </w:pPr>
      <w:r>
        <w:rPr>
          <w:rFonts w:ascii="Times New Roman" w:hAnsi="Times New Roman"/>
          <w:b/>
          <w:sz w:val="24"/>
        </w:rPr>
        <w:t xml:space="preserve">Programming Languages: </w:t>
      </w:r>
      <w:r>
        <w:rPr>
          <w:rFonts w:ascii="Times New Roman" w:hAnsi="Times New Roman"/>
          <w:sz w:val="24"/>
        </w:rPr>
        <w:t xml:space="preserve"> Solidity (v0.8.20), JavaScript (ES6+), Node.js (v18+).</w:t>
      </w:r>
    </w:p>
    <w:p>
      <w:pPr>
        <w:pStyle w:val="ListBullet"/>
        <w:spacing w:line="276" w:lineRule="auto" w:after="80"/>
        <w:ind w:left="576"/>
      </w:pPr>
      <w:r>
        <w:rPr>
          <w:rFonts w:ascii="Times New Roman" w:hAnsi="Times New Roman"/>
          <w:b/>
          <w:sz w:val="24"/>
        </w:rPr>
        <w:t xml:space="preserve">Development Environment: </w:t>
      </w:r>
      <w:r>
        <w:rPr>
          <w:rFonts w:ascii="Times New Roman" w:hAnsi="Times New Roman"/>
          <w:sz w:val="24"/>
        </w:rPr>
        <w:t xml:space="preserve"> Hardhat (v2.26+), Visual Studio Code, Git.</w:t>
      </w:r>
    </w:p>
    <w:p>
      <w:pPr>
        <w:pStyle w:val="ListBullet"/>
        <w:spacing w:line="276" w:lineRule="auto" w:after="80"/>
        <w:ind w:left="576"/>
      </w:pPr>
      <w:r>
        <w:rPr>
          <w:rFonts w:ascii="Times New Roman" w:hAnsi="Times New Roman"/>
          <w:b/>
          <w:sz w:val="24"/>
        </w:rPr>
        <w:t xml:space="preserve">Frameworks &amp; Libraries: </w:t>
      </w:r>
      <w:r>
        <w:rPr>
          <w:rFonts w:ascii="Times New Roman" w:hAnsi="Times New Roman"/>
          <w:sz w:val="24"/>
        </w:rPr>
        <w:t xml:space="preserve"> React 18, React Router v6, Ethers.js v6, Tailwind CSS, Express.js.</w:t>
      </w:r>
    </w:p>
    <w:p>
      <w:pPr>
        <w:pStyle w:val="ListBullet"/>
        <w:spacing w:line="276" w:lineRule="auto" w:after="80"/>
        <w:ind w:left="576"/>
      </w:pPr>
      <w:r>
        <w:rPr>
          <w:rFonts w:ascii="Times New Roman" w:hAnsi="Times New Roman"/>
          <w:b/>
          <w:sz w:val="24"/>
        </w:rPr>
        <w:t xml:space="preserve">Databases &amp; Storage: </w:t>
      </w:r>
      <w:r>
        <w:rPr>
          <w:rFonts w:ascii="Times New Roman" w:hAnsi="Times New Roman"/>
          <w:sz w:val="24"/>
        </w:rPr>
        <w:t xml:space="preserve"> InterPlanetary File System (IPFS) via Pinata Cloud, MongoDB (Metadata cache).</w:t>
      </w:r>
    </w:p>
    <w:p>
      <w:pPr>
        <w:pStyle w:val="ListBullet"/>
        <w:spacing w:line="276" w:lineRule="auto" w:after="80"/>
        <w:ind w:left="576"/>
      </w:pPr>
      <w:r>
        <w:rPr>
          <w:rFonts w:ascii="Times New Roman" w:hAnsi="Times New Roman"/>
          <w:b/>
          <w:sz w:val="24"/>
        </w:rPr>
        <w:t xml:space="preserve">Security &amp; Web3: </w:t>
      </w:r>
      <w:r>
        <w:rPr>
          <w:rFonts w:ascii="Times New Roman" w:hAnsi="Times New Roman"/>
          <w:sz w:val="24"/>
        </w:rPr>
        <w:t xml:space="preserve"> AES-256-GCM, SHA-256, MetaMask Browser Wallet, OpenZeppelin Contracts.</w:t>
      </w:r>
    </w:p>
    <w:p>
      <w:r>
        <w:br w:type="page"/>
      </w:r>
    </w:p>
    <w:p>
      <w:pPr>
        <w:keepNext/>
        <w:spacing w:before="360" w:after="160" w:line="360" w:lineRule="auto"/>
      </w:pPr>
      <w:r>
        <w:rPr>
          <w:rFonts w:ascii="Times New Roman" w:hAnsi="Times New Roman"/>
          <w:b/>
          <w:color w:val="1F4E79"/>
          <w:sz w:val="28"/>
        </w:rPr>
        <w:t>4. DESIGN APPROACH AND DETAILS</w:t>
      </w:r>
    </w:p>
    <w:p>
      <w:pPr>
        <w:keepNext/>
        <w:spacing w:before="280" w:after="120" w:line="360" w:lineRule="auto"/>
      </w:pPr>
      <w:r>
        <w:rPr>
          <w:rFonts w:ascii="Times New Roman" w:hAnsi="Times New Roman"/>
          <w:b/>
          <w:color w:val="0F172A"/>
          <w:sz w:val="26"/>
        </w:rPr>
        <w:t>4.1 System Architecture</w:t>
      </w:r>
    </w:p>
    <w:p>
      <w:pPr>
        <w:spacing w:line="276" w:lineRule="auto" w:after="120"/>
        <w:jc w:val="both"/>
      </w:pPr>
      <w:r>
        <w:rPr>
          <w:rFonts w:ascii="Times New Roman" w:hAnsi="Times New Roman"/>
          <w:color w:val="1E293B"/>
          <w:sz w:val="24"/>
        </w:rPr>
        <w:t>CareChain is engineered around a 4-Tier Hybrid Architecture that cleanly decouples client-side presentation, cryptographic gateway routing, decentralized storage, and blockchain consensus governance. The complete architectural blueprint is shown in Figure 4.1:</w:t>
      </w:r>
    </w:p>
    <w:p>
      <w:pPr>
        <w:spacing w:before="200" w:after="80"/>
        <w:jc w:val="center"/>
      </w:pPr>
      <w:r>
        <w:drawing>
          <wp:inline xmlns:a="http://schemas.openxmlformats.org/drawingml/2006/main" xmlns:pic="http://schemas.openxmlformats.org/drawingml/2006/picture">
            <wp:extent cx="5669280" cy="3222109"/>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10"/>
                    <a:stretch>
                      <a:fillRect/>
                    </a:stretch>
                  </pic:blipFill>
                  <pic:spPr>
                    <a:xfrm>
                      <a:off x="0" y="0"/>
                      <a:ext cx="5669280" cy="3222109"/>
                    </a:xfrm>
                    <a:prstGeom prst="rect"/>
                  </pic:spPr>
                </pic:pic>
              </a:graphicData>
            </a:graphic>
          </wp:inline>
        </w:drawing>
      </w:r>
    </w:p>
    <w:p>
      <w:pPr>
        <w:spacing w:after="240"/>
        <w:jc w:val="center"/>
      </w:pPr>
      <w:r>
        <w:rPr>
          <w:rFonts w:ascii="Times New Roman" w:hAnsi="Times New Roman"/>
          <w:b/>
          <w:i/>
          <w:color w:val="475569"/>
          <w:sz w:val="22"/>
        </w:rPr>
        <w:t>Fig. 4.1: CareChain 4-Tier Hybrid System Architecture</w:t>
      </w:r>
    </w:p>
    <w:p>
      <w:pPr>
        <w:spacing w:line="276" w:lineRule="auto" w:after="120"/>
        <w:jc w:val="both"/>
      </w:pPr>
      <w:r>
        <w:rPr>
          <w:rFonts w:ascii="Times New Roman" w:hAnsi="Times New Roman"/>
          <w:b/>
          <w:color w:val="0F172A"/>
          <w:sz w:val="24"/>
        </w:rPr>
        <w:t xml:space="preserve">Detailed Layer Specifications: </w:t>
      </w:r>
      <w:r>
        <w:rPr>
          <w:rFonts w:ascii="Times New Roman" w:hAnsi="Times New Roman"/>
          <w:color w:val="1E293B"/>
          <w:sz w:val="24"/>
        </w:rPr>
        <w:t>Layer-by-Layer Architectural Breakdown:</w:t>
      </w:r>
    </w:p>
    <w:p>
      <w:pPr>
        <w:pStyle w:val="ListBullet"/>
        <w:spacing w:line="276" w:lineRule="auto" w:after="80"/>
        <w:ind w:left="576"/>
      </w:pPr>
      <w:r>
        <w:rPr>
          <w:rFonts w:ascii="Times New Roman" w:hAnsi="Times New Roman"/>
          <w:b/>
          <w:sz w:val="24"/>
        </w:rPr>
        <w:t xml:space="preserve">1. Web3 Client Layer: </w:t>
      </w:r>
      <w:r>
        <w:rPr>
          <w:rFonts w:ascii="Times New Roman" w:hAnsi="Times New Roman"/>
          <w:sz w:val="24"/>
        </w:rPr>
        <w:t xml:space="preserve"> Provides dedicated, responsive dashboards for Patients, Doctors, and Hospital Administrators. Interacts with MetaMask Web3 providers via Ethers.js v6 for cryptographic transaction signing.</w:t>
      </w:r>
    </w:p>
    <w:p>
      <w:pPr>
        <w:pStyle w:val="ListBullet"/>
        <w:spacing w:line="276" w:lineRule="auto" w:after="80"/>
        <w:ind w:left="576"/>
      </w:pPr>
      <w:r>
        <w:rPr>
          <w:rFonts w:ascii="Times New Roman" w:hAnsi="Times New Roman"/>
          <w:b/>
          <w:sz w:val="24"/>
        </w:rPr>
        <w:t xml:space="preserve">2. API &amp; Cryptography Gateway: </w:t>
      </w:r>
      <w:r>
        <w:rPr>
          <w:rFonts w:ascii="Times New Roman" w:hAnsi="Times New Roman"/>
          <w:sz w:val="24"/>
        </w:rPr>
        <w:t xml:space="preserve"> Operates an Express.js server handling REST API endpoints, JWT role-based middleware, and the AES-256-GCM cryptographic pipeline.</w:t>
      </w:r>
    </w:p>
    <w:p>
      <w:pPr>
        <w:pStyle w:val="ListBullet"/>
        <w:spacing w:line="276" w:lineRule="auto" w:after="80"/>
        <w:ind w:left="576"/>
      </w:pPr>
      <w:r>
        <w:rPr>
          <w:rFonts w:ascii="Times New Roman" w:hAnsi="Times New Roman"/>
          <w:b/>
          <w:sz w:val="24"/>
        </w:rPr>
        <w:t xml:space="preserve">3. Decentralized Storage Layer: </w:t>
      </w:r>
      <w:r>
        <w:rPr>
          <w:rFonts w:ascii="Times New Roman" w:hAnsi="Times New Roman"/>
          <w:sz w:val="24"/>
        </w:rPr>
        <w:t xml:space="preserve"> Leverages the Pinata IPFS cluster for distributed, tamper-evident file storage and MongoDB for high-speed off-chain profile caching.</w:t>
      </w:r>
    </w:p>
    <w:p>
      <w:pPr>
        <w:pStyle w:val="ListBullet"/>
        <w:spacing w:line="276" w:lineRule="auto" w:after="80"/>
        <w:ind w:left="576"/>
      </w:pPr>
      <w:r>
        <w:rPr>
          <w:rFonts w:ascii="Times New Roman" w:hAnsi="Times New Roman"/>
          <w:b/>
          <w:sz w:val="24"/>
        </w:rPr>
        <w:t xml:space="preserve">4. Blockchain Smart Contract Layer: </w:t>
      </w:r>
      <w:r>
        <w:rPr>
          <w:rFonts w:ascii="Times New Roman" w:hAnsi="Times New Roman"/>
          <w:sz w:val="24"/>
        </w:rPr>
        <w:t xml:space="preserve"> Deploys Solidity smart contract MedicalRecord.sol on EVM networks to maintain access matrices (doctorPermissions), doctor registries, and immutable event logs.</w:t>
      </w:r>
    </w:p>
    <w:p>
      <w:pPr>
        <w:keepNext/>
        <w:spacing w:before="280" w:after="120" w:line="360" w:lineRule="auto"/>
      </w:pPr>
      <w:r>
        <w:rPr>
          <w:rFonts w:ascii="Times New Roman" w:hAnsi="Times New Roman"/>
          <w:b/>
          <w:color w:val="0F172A"/>
          <w:sz w:val="26"/>
        </w:rPr>
        <w:t>4.2 Detailed Design</w:t>
      </w:r>
    </w:p>
    <w:p>
      <w:pPr>
        <w:keepNext/>
        <w:spacing w:before="200" w:after="80" w:line="360" w:lineRule="auto"/>
      </w:pPr>
      <w:r>
        <w:rPr>
          <w:rFonts w:ascii="Times New Roman" w:hAnsi="Times New Roman"/>
          <w:b/>
          <w:i/>
          <w:color w:val="334155"/>
          <w:sz w:val="24"/>
        </w:rPr>
        <w:t>4.2.1 Data Flow Diagram (DFD)</w:t>
      </w:r>
    </w:p>
    <w:p>
      <w:pPr>
        <w:spacing w:line="276" w:lineRule="auto" w:after="120"/>
        <w:jc w:val="both"/>
      </w:pPr>
      <w:r>
        <w:rPr>
          <w:rFonts w:ascii="Times New Roman" w:hAnsi="Times New Roman"/>
          <w:color w:val="1E293B"/>
          <w:sz w:val="24"/>
        </w:rPr>
        <w:t>The flow of clinical information and cryptographic permissions across system boundaries is modeled through Level 0 (Context Level) and Level 1 (Detailed Functional) Data Flow Diagrams:</w:t>
      </w:r>
    </w:p>
    <w:p>
      <w:pPr>
        <w:spacing w:before="200" w:after="80"/>
        <w:jc w:val="center"/>
      </w:pPr>
      <w:r>
        <w:drawing>
          <wp:inline xmlns:a="http://schemas.openxmlformats.org/drawingml/2006/main" xmlns:pic="http://schemas.openxmlformats.org/drawingml/2006/picture">
            <wp:extent cx="5669280" cy="2460254"/>
            <wp:docPr id="3" name="Picture 3"/>
            <wp:cNvGraphicFramePr>
              <a:graphicFrameLocks noChangeAspect="1"/>
            </wp:cNvGraphicFramePr>
            <a:graphic>
              <a:graphicData uri="http://schemas.openxmlformats.org/drawingml/2006/picture">
                <pic:pic>
                  <pic:nvPicPr>
                    <pic:cNvPr id="0" name="dfd_diagram.png"/>
                    <pic:cNvPicPr/>
                  </pic:nvPicPr>
                  <pic:blipFill>
                    <a:blip r:embed="rId11"/>
                    <a:stretch>
                      <a:fillRect/>
                    </a:stretch>
                  </pic:blipFill>
                  <pic:spPr>
                    <a:xfrm>
                      <a:off x="0" y="0"/>
                      <a:ext cx="5669280" cy="2460254"/>
                    </a:xfrm>
                    <a:prstGeom prst="rect"/>
                  </pic:spPr>
                </pic:pic>
              </a:graphicData>
            </a:graphic>
          </wp:inline>
        </w:drawing>
      </w:r>
    </w:p>
    <w:p>
      <w:pPr>
        <w:spacing w:after="240"/>
        <w:jc w:val="center"/>
      </w:pPr>
      <w:r>
        <w:rPr>
          <w:rFonts w:ascii="Times New Roman" w:hAnsi="Times New Roman"/>
          <w:b/>
          <w:i/>
          <w:color w:val="475569"/>
          <w:sz w:val="22"/>
        </w:rPr>
        <w:t>Fig. 4.2: CareChain Data Flow Diagrams (Level 0 Context and Level 1 Functional)</w:t>
      </w:r>
    </w:p>
    <w:p>
      <w:pPr>
        <w:spacing w:line="276" w:lineRule="auto" w:after="120"/>
        <w:jc w:val="both"/>
      </w:pPr>
      <w:r>
        <w:rPr>
          <w:rFonts w:ascii="Times New Roman" w:hAnsi="Times New Roman"/>
          <w:color w:val="1E293B"/>
          <w:sz w:val="24"/>
        </w:rPr>
        <w:t>As illustrated in DFD Level 1, the patient transmits a raw medical file to Process 1.0 (Encrypt &amp; Upload), which generates a 256-bit AES symmetric key, encrypts the payload, and streams ciphertext to Data Store D1 (IPFS). Process 2.0 (Manage Access) executes grantDoctorAccess() on Data Store D2 (Smart Contract). When an authorized doctor initiates a record query through Process 3.0 (Verify &amp; Authorize), the smart contract validates permissions and returns the CID. Process 4.0 (Decrypt &amp; Retrieve) fetches ciphertext from IPFS, performs symmetric decryption, and renders the clinical document.</w:t>
      </w:r>
    </w:p>
    <w:p>
      <w:pPr>
        <w:keepNext/>
        <w:spacing w:before="200" w:after="80" w:line="360" w:lineRule="auto"/>
      </w:pPr>
      <w:r>
        <w:rPr>
          <w:rFonts w:ascii="Times New Roman" w:hAnsi="Times New Roman"/>
          <w:b/>
          <w:i/>
          <w:color w:val="334155"/>
          <w:sz w:val="24"/>
        </w:rPr>
        <w:t>4.2.2 Use Case Diagram</w:t>
      </w:r>
    </w:p>
    <w:p>
      <w:pPr>
        <w:spacing w:line="276" w:lineRule="auto" w:after="120"/>
        <w:jc w:val="both"/>
      </w:pPr>
      <w:r>
        <w:rPr>
          <w:rFonts w:ascii="Times New Roman" w:hAnsi="Times New Roman"/>
          <w:color w:val="1E293B"/>
          <w:sz w:val="24"/>
        </w:rPr>
        <w:t>The interactions between system actors (Patient, Doctor, Hospital Administrator, and Smart Contract/IPFS Node) and functional use cases are modeled in Figure 4.3:</w:t>
      </w:r>
    </w:p>
    <w:p>
      <w:pPr>
        <w:spacing w:before="200" w:after="80"/>
        <w:jc w:val="center"/>
      </w:pPr>
      <w:r>
        <w:drawing>
          <wp:inline xmlns:a="http://schemas.openxmlformats.org/drawingml/2006/main" xmlns:pic="http://schemas.openxmlformats.org/drawingml/2006/picture">
            <wp:extent cx="5669280" cy="3763640"/>
            <wp:docPr id="4" name="Picture 4"/>
            <wp:cNvGraphicFramePr>
              <a:graphicFrameLocks noChangeAspect="1"/>
            </wp:cNvGraphicFramePr>
            <a:graphic>
              <a:graphicData uri="http://schemas.openxmlformats.org/drawingml/2006/picture">
                <pic:pic>
                  <pic:nvPicPr>
                    <pic:cNvPr id="0" name="usecase_diagram.png"/>
                    <pic:cNvPicPr/>
                  </pic:nvPicPr>
                  <pic:blipFill>
                    <a:blip r:embed="rId12"/>
                    <a:stretch>
                      <a:fillRect/>
                    </a:stretch>
                  </pic:blipFill>
                  <pic:spPr>
                    <a:xfrm>
                      <a:off x="0" y="0"/>
                      <a:ext cx="5669280" cy="3763640"/>
                    </a:xfrm>
                    <a:prstGeom prst="rect"/>
                  </pic:spPr>
                </pic:pic>
              </a:graphicData>
            </a:graphic>
          </wp:inline>
        </w:drawing>
      </w:r>
    </w:p>
    <w:p>
      <w:pPr>
        <w:spacing w:after="240"/>
        <w:jc w:val="center"/>
      </w:pPr>
      <w:r>
        <w:rPr>
          <w:rFonts w:ascii="Times New Roman" w:hAnsi="Times New Roman"/>
          <w:b/>
          <w:i/>
          <w:color w:val="475569"/>
          <w:sz w:val="22"/>
        </w:rPr>
        <w:t>Fig. 4.3: CareChain UML Use Case Diagram</w:t>
      </w:r>
    </w:p>
    <w:p>
      <w:pPr>
        <w:keepNext/>
        <w:spacing w:before="200" w:after="80" w:line="360" w:lineRule="auto"/>
      </w:pPr>
      <w:r>
        <w:rPr>
          <w:rFonts w:ascii="Times New Roman" w:hAnsi="Times New Roman"/>
          <w:b/>
          <w:i/>
          <w:color w:val="334155"/>
          <w:sz w:val="24"/>
        </w:rPr>
        <w:t>4.2.3 Class &amp; Smart Contract Architecture</w:t>
      </w:r>
    </w:p>
    <w:p>
      <w:pPr>
        <w:spacing w:line="276" w:lineRule="auto" w:after="120"/>
        <w:jc w:val="both"/>
      </w:pPr>
      <w:r>
        <w:rPr>
          <w:rFonts w:ascii="Times New Roman" w:hAnsi="Times New Roman"/>
          <w:color w:val="1E293B"/>
          <w:sz w:val="24"/>
        </w:rPr>
        <w:t>The core smart contract data structures and access mappings defined in MedicalRecord.sol are structured as follows:</w:t>
      </w:r>
    </w:p>
    <w:p>
      <w:pPr>
        <w:pStyle w:val="ListBullet"/>
        <w:spacing w:line="276" w:lineRule="auto" w:after="80"/>
        <w:ind w:left="576"/>
      </w:pPr>
      <w:r>
        <w:rPr>
          <w:rFonts w:ascii="Times New Roman" w:hAnsi="Times New Roman"/>
          <w:b/>
          <w:sz w:val="24"/>
        </w:rPr>
        <w:t xml:space="preserve">Record Structure: </w:t>
      </w:r>
      <w:r>
        <w:rPr>
          <w:rFonts w:ascii="Times New Roman" w:hAnsi="Times New Roman"/>
          <w:sz w:val="24"/>
        </w:rPr>
        <w:t xml:space="preserve"> struct Record { uint256 id; string ipfsHash; string title; string recordType; string description; address patient; address uploadedBy; uint256 timestamp; }</w:t>
      </w:r>
    </w:p>
    <w:p>
      <w:pPr>
        <w:pStyle w:val="ListBullet"/>
        <w:spacing w:line="276" w:lineRule="auto" w:after="80"/>
        <w:ind w:left="576"/>
      </w:pPr>
      <w:r>
        <w:rPr>
          <w:rFonts w:ascii="Times New Roman" w:hAnsi="Times New Roman"/>
          <w:b/>
          <w:sz w:val="24"/>
        </w:rPr>
        <w:t xml:space="preserve">Doctor Structure: </w:t>
      </w:r>
      <w:r>
        <w:rPr>
          <w:rFonts w:ascii="Times New Roman" w:hAnsi="Times New Roman"/>
          <w:sz w:val="24"/>
        </w:rPr>
        <w:t xml:space="preserve"> struct Doctor { string name; string specialization; string hospital; bool isRegistered; bool isVerified; }</w:t>
      </w:r>
    </w:p>
    <w:p>
      <w:pPr>
        <w:pStyle w:val="ListBullet"/>
        <w:spacing w:line="276" w:lineRule="auto" w:after="80"/>
        <w:ind w:left="576"/>
      </w:pPr>
      <w:r>
        <w:rPr>
          <w:rFonts w:ascii="Times New Roman" w:hAnsi="Times New Roman"/>
          <w:b/>
          <w:sz w:val="24"/>
        </w:rPr>
        <w:t xml:space="preserve">State Mappings: </w:t>
      </w:r>
      <w:r>
        <w:rPr>
          <w:rFonts w:ascii="Times New Roman" w:hAnsi="Times New Roman"/>
          <w:sz w:val="24"/>
        </w:rPr>
        <w:t xml:space="preserve"> mapping(address =&gt; Record[]) private records; mapping(address =&gt; Doctor) public doctors; mapping(address =&gt; mapping(address =&gt; bool)) public doctorPermissions;</w:t>
      </w:r>
    </w:p>
    <w:p>
      <w:pPr>
        <w:pStyle w:val="ListBullet"/>
        <w:spacing w:line="276" w:lineRule="auto" w:after="80"/>
        <w:ind w:left="576"/>
      </w:pPr>
      <w:r>
        <w:rPr>
          <w:rFonts w:ascii="Times New Roman" w:hAnsi="Times New Roman"/>
          <w:b/>
          <w:sz w:val="24"/>
        </w:rPr>
        <w:t xml:space="preserve">Access Modifiers: </w:t>
      </w:r>
      <w:r>
        <w:rPr>
          <w:rFonts w:ascii="Times New Roman" w:hAnsi="Times New Roman"/>
          <w:sz w:val="24"/>
        </w:rPr>
        <w:t xml:space="preserve"> modifier onlyPatient(address patient); modifier onlyAdmin(); modifier onlyVerifiedDoctor();</w:t>
      </w:r>
    </w:p>
    <w:p>
      <w:pPr>
        <w:keepNext/>
        <w:spacing w:before="200" w:after="80" w:line="360" w:lineRule="auto"/>
      </w:pPr>
      <w:r>
        <w:rPr>
          <w:rFonts w:ascii="Times New Roman" w:hAnsi="Times New Roman"/>
          <w:b/>
          <w:i/>
          <w:color w:val="334155"/>
          <w:sz w:val="24"/>
        </w:rPr>
        <w:t>4.2.4 Sequence Workflow</w:t>
      </w:r>
    </w:p>
    <w:p>
      <w:pPr>
        <w:spacing w:line="276" w:lineRule="auto" w:after="120"/>
        <w:jc w:val="both"/>
      </w:pPr>
      <w:r>
        <w:rPr>
          <w:rFonts w:ascii="Times New Roman" w:hAnsi="Times New Roman"/>
          <w:color w:val="1E293B"/>
          <w:sz w:val="24"/>
        </w:rPr>
        <w:t>The record ingestion and authorization sequence operates in 5 deterministic steps:</w:t>
      </w:r>
    </w:p>
    <w:p>
      <w:pPr>
        <w:pStyle w:val="ListBullet"/>
        <w:spacing w:line="276" w:lineRule="auto" w:after="80"/>
        <w:ind w:left="576"/>
      </w:pPr>
      <w:r>
        <w:rPr>
          <w:rFonts w:ascii="Times New Roman" w:hAnsi="Times New Roman"/>
          <w:sz w:val="24"/>
        </w:rPr>
        <w:t xml:space="preserve"> Step 1: Patient selects medical document (PDF/DICOM/PNG) in browser portal.</w:t>
      </w:r>
    </w:p>
    <w:p>
      <w:pPr>
        <w:pStyle w:val="ListBullet"/>
        <w:spacing w:line="276" w:lineRule="auto" w:after="80"/>
        <w:ind w:left="576"/>
      </w:pPr>
      <w:r>
        <w:rPr>
          <w:rFonts w:ascii="Times New Roman" w:hAnsi="Times New Roman"/>
          <w:sz w:val="24"/>
        </w:rPr>
        <w:t xml:space="preserve"> Step 2: Gateway executes AES-256-GCM symmetric buffer encryption, generating ciphertext, 12-byte IV, and 16-byte auth tag.</w:t>
      </w:r>
    </w:p>
    <w:p>
      <w:pPr>
        <w:pStyle w:val="ListBullet"/>
        <w:spacing w:line="276" w:lineRule="auto" w:after="80"/>
        <w:ind w:left="576"/>
      </w:pPr>
      <w:r>
        <w:rPr>
          <w:rFonts w:ascii="Times New Roman" w:hAnsi="Times New Roman"/>
          <w:sz w:val="24"/>
        </w:rPr>
        <w:t xml:space="preserve"> Step 3: Ciphertext payload is pinned to IPFS via Pinata API, returning 46-byte CID (e.g., QmXoypizjW3WknFiJnKLwHCnL72vedxjQkDDP1mXWo6uco).</w:t>
      </w:r>
    </w:p>
    <w:p>
      <w:pPr>
        <w:pStyle w:val="ListBullet"/>
        <w:spacing w:line="276" w:lineRule="auto" w:after="80"/>
        <w:ind w:left="576"/>
      </w:pPr>
      <w:r>
        <w:rPr>
          <w:rFonts w:ascii="Times New Roman" w:hAnsi="Times New Roman"/>
          <w:sz w:val="24"/>
        </w:rPr>
        <w:t xml:space="preserve"> Step 4: Patient signs and executes addRecord() on MedicalRecord.sol via MetaMask, committing CID and emitting RecordAdded event.</w:t>
      </w:r>
    </w:p>
    <w:p>
      <w:pPr>
        <w:pStyle w:val="ListBullet"/>
        <w:spacing w:line="276" w:lineRule="auto" w:after="80"/>
        <w:ind w:left="576"/>
      </w:pPr>
      <w:r>
        <w:rPr>
          <w:rFonts w:ascii="Times New Roman" w:hAnsi="Times New Roman"/>
          <w:sz w:val="24"/>
        </w:rPr>
        <w:t xml:space="preserve"> Step 5: Patient calls grantDoctorAccess(doctorAddress), updating doctorPermissions[patient][doctor] = true and emitting AccessGranted event.</w:t>
      </w:r>
    </w:p>
    <w:p>
      <w:r>
        <w:br w:type="page"/>
      </w:r>
    </w:p>
    <w:p>
      <w:pPr>
        <w:keepNext/>
        <w:spacing w:before="360" w:after="160" w:line="360" w:lineRule="auto"/>
      </w:pPr>
      <w:r>
        <w:rPr>
          <w:rFonts w:ascii="Times New Roman" w:hAnsi="Times New Roman"/>
          <w:b/>
          <w:color w:val="1F4E79"/>
          <w:sz w:val="28"/>
        </w:rPr>
        <w:t>5. IMPLEMENTATION AND EXPERIMENTAL RESULTS</w:t>
      </w:r>
    </w:p>
    <w:p>
      <w:pPr>
        <w:keepNext/>
        <w:spacing w:before="280" w:after="120" w:line="360" w:lineRule="auto"/>
      </w:pPr>
      <w:r>
        <w:rPr>
          <w:rFonts w:ascii="Times New Roman" w:hAnsi="Times New Roman"/>
          <w:b/>
          <w:color w:val="0F172A"/>
          <w:sz w:val="26"/>
        </w:rPr>
        <w:t>5.1 Smart Contract Implementation</w:t>
      </w:r>
    </w:p>
    <w:p>
      <w:pPr>
        <w:spacing w:line="276" w:lineRule="auto" w:after="120"/>
        <w:jc w:val="both"/>
      </w:pPr>
      <w:r>
        <w:rPr>
          <w:rFonts w:ascii="Times New Roman" w:hAnsi="Times New Roman"/>
          <w:color w:val="1E293B"/>
          <w:sz w:val="24"/>
        </w:rPr>
        <w:t>The smart contract layer is implemented in Solidity (v0.8.20) in MedicalRecord.sol. The contract enforces strict role-based access control, ensuring patients maintain exclusive sovereignty over their health vaults. Key implemented functions include:</w:t>
      </w:r>
    </w:p>
    <w:p>
      <w:pPr>
        <w:pStyle w:val="ListBullet"/>
        <w:spacing w:line="276" w:lineRule="auto" w:after="80"/>
        <w:ind w:left="576"/>
      </w:pPr>
      <w:r>
        <w:rPr>
          <w:rFonts w:ascii="Times New Roman" w:hAnsi="Times New Roman"/>
          <w:b/>
          <w:sz w:val="24"/>
        </w:rPr>
        <w:t xml:space="preserve">addRecord(address _patient, string _ipfsHash, string _title, string _recordType, string _description): </w:t>
      </w:r>
      <w:r>
        <w:rPr>
          <w:rFonts w:ascii="Times New Roman" w:hAnsi="Times New Roman"/>
          <w:sz w:val="24"/>
        </w:rPr>
        <w:t xml:space="preserve"> Appends a new medical record CID to the caller's vault. Verified doctors can also invoke this method on behalf of an authorized patient.</w:t>
      </w:r>
    </w:p>
    <w:p>
      <w:pPr>
        <w:pStyle w:val="ListBullet"/>
        <w:spacing w:line="276" w:lineRule="auto" w:after="80"/>
        <w:ind w:left="576"/>
      </w:pPr>
      <w:r>
        <w:rPr>
          <w:rFonts w:ascii="Times New Roman" w:hAnsi="Times New Roman"/>
          <w:b/>
          <w:sz w:val="24"/>
        </w:rPr>
        <w:t xml:space="preserve">getPatientRecords(address _patient): </w:t>
      </w:r>
      <w:r>
        <w:rPr>
          <w:rFonts w:ascii="Times New Roman" w:hAnsi="Times New Roman"/>
          <w:sz w:val="24"/>
        </w:rPr>
        <w:t xml:space="preserve"> Returns all records for the caller, or allows a doctor to retrieve records if doctorPermissions[_patient][msg.sender] is true.</w:t>
      </w:r>
    </w:p>
    <w:p>
      <w:pPr>
        <w:pStyle w:val="ListBullet"/>
        <w:spacing w:line="276" w:lineRule="auto" w:after="80"/>
        <w:ind w:left="576"/>
      </w:pPr>
      <w:r>
        <w:rPr>
          <w:rFonts w:ascii="Times New Roman" w:hAnsi="Times New Roman"/>
          <w:b/>
          <w:sz w:val="24"/>
        </w:rPr>
        <w:t xml:space="preserve">grantDoctorAccess(address _doctor): </w:t>
      </w:r>
      <w:r>
        <w:rPr>
          <w:rFonts w:ascii="Times New Roman" w:hAnsi="Times New Roman"/>
          <w:sz w:val="24"/>
        </w:rPr>
        <w:t xml:space="preserve"> Grants access permissions to a specified doctor address and emits AccessGranted.</w:t>
      </w:r>
    </w:p>
    <w:p>
      <w:pPr>
        <w:pStyle w:val="ListBullet"/>
        <w:spacing w:line="276" w:lineRule="auto" w:after="80"/>
        <w:ind w:left="576"/>
      </w:pPr>
      <w:r>
        <w:rPr>
          <w:rFonts w:ascii="Times New Roman" w:hAnsi="Times New Roman"/>
          <w:b/>
          <w:sz w:val="24"/>
        </w:rPr>
        <w:t xml:space="preserve">revokeDoctorAccess(address _doctor): </w:t>
      </w:r>
      <w:r>
        <w:rPr>
          <w:rFonts w:ascii="Times New Roman" w:hAnsi="Times New Roman"/>
          <w:sz w:val="24"/>
        </w:rPr>
        <w:t xml:space="preserve"> Immediately revokes doctor access and emits AccessRevoked.</w:t>
      </w:r>
    </w:p>
    <w:p>
      <w:pPr>
        <w:pStyle w:val="ListBullet"/>
        <w:spacing w:line="276" w:lineRule="auto" w:after="80"/>
        <w:ind w:left="576"/>
      </w:pPr>
      <w:r>
        <w:rPr>
          <w:rFonts w:ascii="Times New Roman" w:hAnsi="Times New Roman"/>
          <w:b/>
          <w:sz w:val="24"/>
        </w:rPr>
        <w:t xml:space="preserve">verifyDoctor(address _doctor): </w:t>
      </w:r>
      <w:r>
        <w:rPr>
          <w:rFonts w:ascii="Times New Roman" w:hAnsi="Times New Roman"/>
          <w:sz w:val="24"/>
        </w:rPr>
        <w:t xml:space="preserve"> Allows hospital administrators to verify practitioner credentials.</w:t>
      </w:r>
    </w:p>
    <w:p>
      <w:pPr>
        <w:keepNext/>
        <w:spacing w:before="280" w:after="120" w:line="360" w:lineRule="auto"/>
      </w:pPr>
      <w:r>
        <w:rPr>
          <w:rFonts w:ascii="Times New Roman" w:hAnsi="Times New Roman"/>
          <w:b/>
          <w:color w:val="0F172A"/>
          <w:sz w:val="26"/>
        </w:rPr>
        <w:t>5.2 Cryptographic Gateway &amp; IPFS Pinning Engine</w:t>
      </w:r>
    </w:p>
    <w:p>
      <w:pPr>
        <w:spacing w:line="276" w:lineRule="auto" w:after="120"/>
        <w:jc w:val="both"/>
      </w:pPr>
      <w:r>
        <w:rPr>
          <w:rFonts w:ascii="Times New Roman" w:hAnsi="Times New Roman"/>
          <w:color w:val="1E293B"/>
          <w:sz w:val="24"/>
        </w:rPr>
        <w:t>The cryptographic gateway is implemented in Node.js utilizing Node's built-in crypto module. The encrypt.js module handles AES-256-GCM symmetric buffer encryption, generating random 12-byte initialization vectors and extracting 16-byte authentication tags. The pinata.js module handles multipart/form-data streaming to the Pinata IPFS REST API, receiving pinned CIDs and caching metadata in MongoDB.</w:t>
      </w:r>
    </w:p>
    <w:p>
      <w:pPr>
        <w:keepNext/>
        <w:spacing w:before="280" w:after="120" w:line="360" w:lineRule="auto"/>
      </w:pPr>
      <w:r>
        <w:rPr>
          <w:rFonts w:ascii="Times New Roman" w:hAnsi="Times New Roman"/>
          <w:b/>
          <w:color w:val="0F172A"/>
          <w:sz w:val="26"/>
        </w:rPr>
        <w:t>5.3 Role-Based User Portals &amp; UI/UX</w:t>
      </w:r>
    </w:p>
    <w:p>
      <w:pPr>
        <w:spacing w:line="276" w:lineRule="auto" w:after="120"/>
        <w:jc w:val="both"/>
      </w:pPr>
      <w:r>
        <w:rPr>
          <w:rFonts w:ascii="Times New Roman" w:hAnsi="Times New Roman"/>
          <w:color w:val="1E293B"/>
          <w:sz w:val="24"/>
        </w:rPr>
        <w:t>The frontend application is constructed using React 18, React Router v6, and Tailwind CSS. The interface features three distinct role-based portals:</w:t>
      </w:r>
    </w:p>
    <w:p>
      <w:pPr>
        <w:pStyle w:val="ListBullet"/>
        <w:spacing w:line="276" w:lineRule="auto" w:after="80"/>
        <w:ind w:left="576"/>
      </w:pPr>
      <w:r>
        <w:rPr>
          <w:rFonts w:ascii="Times New Roman" w:hAnsi="Times New Roman"/>
          <w:b/>
          <w:sz w:val="24"/>
        </w:rPr>
        <w:t xml:space="preserve">1. Patient Portal: </w:t>
      </w:r>
      <w:r>
        <w:rPr>
          <w:rFonts w:ascii="Times New Roman" w:hAnsi="Times New Roman"/>
          <w:sz w:val="24"/>
        </w:rPr>
        <w:t xml:space="preserve"> Allows patients to view their medical history, upload encrypted files, schedule appointments, track medications, and manage doctor access permissions with one-click toggles.</w:t>
      </w:r>
    </w:p>
    <w:p>
      <w:pPr>
        <w:pStyle w:val="ListBullet"/>
        <w:spacing w:line="276" w:lineRule="auto" w:after="80"/>
        <w:ind w:left="576"/>
      </w:pPr>
      <w:r>
        <w:rPr>
          <w:rFonts w:ascii="Times New Roman" w:hAnsi="Times New Roman"/>
          <w:b/>
          <w:sz w:val="24"/>
        </w:rPr>
        <w:t xml:space="preserve">2. Doctor Portal: </w:t>
      </w:r>
      <w:r>
        <w:rPr>
          <w:rFonts w:ascii="Times New Roman" w:hAnsi="Times New Roman"/>
          <w:sz w:val="24"/>
        </w:rPr>
        <w:t xml:space="preserve"> Enables verified clinicians to search for authorized patients, decrypt diagnostic scans, and upload clinical notes and prescriptions.</w:t>
      </w:r>
    </w:p>
    <w:p>
      <w:pPr>
        <w:pStyle w:val="ListBullet"/>
        <w:spacing w:line="276" w:lineRule="auto" w:after="80"/>
        <w:ind w:left="576"/>
      </w:pPr>
      <w:r>
        <w:rPr>
          <w:rFonts w:ascii="Times New Roman" w:hAnsi="Times New Roman"/>
          <w:b/>
          <w:sz w:val="24"/>
        </w:rPr>
        <w:t xml:space="preserve">3. Admin Portal: </w:t>
      </w:r>
      <w:r>
        <w:rPr>
          <w:rFonts w:ascii="Times New Roman" w:hAnsi="Times New Roman"/>
          <w:sz w:val="24"/>
        </w:rPr>
        <w:t xml:space="preserve"> Allows hospital governance staff to review doctor license requests, verify practitioners, and monitor system telemetry.</w:t>
      </w:r>
    </w:p>
    <w:p>
      <w:pPr>
        <w:keepNext/>
        <w:spacing w:before="280" w:after="120" w:line="360" w:lineRule="auto"/>
      </w:pPr>
      <w:r>
        <w:rPr>
          <w:rFonts w:ascii="Times New Roman" w:hAnsi="Times New Roman"/>
          <w:b/>
          <w:color w:val="0F172A"/>
          <w:sz w:val="26"/>
        </w:rPr>
        <w:t>5.4 Testing, Benchmarks &amp; Validation</w:t>
      </w:r>
    </w:p>
    <w:p>
      <w:pPr>
        <w:spacing w:line="276" w:lineRule="auto" w:after="120"/>
        <w:jc w:val="both"/>
      </w:pPr>
      <w:r>
        <w:rPr>
          <w:rFonts w:ascii="Times New Roman" w:hAnsi="Times New Roman"/>
          <w:color w:val="1E293B"/>
          <w:sz w:val="24"/>
        </w:rPr>
        <w:t>A comprehensive test suite was executed using the Hardhat testing framework. All 11 automated unit tests passed successfully, validating registration, record upload, access delegation, and access rejection scenarios: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250"/>
        <w:gridCol w:w="2250"/>
        <w:gridCol w:w="2250"/>
        <w:gridCol w:w="2250"/>
      </w:tblGrid>
      <w:tr>
        <w:tc>
          <w:tcPr>
            <w:tcW w:type="dxa" w:w="2160"/>
            <w:shd w:fill="1F4E79"/>
            <w:tcMar>
              <w:top w:w="80" w:type="dxa"/>
              <w:bottom w:w="80" w:type="dxa"/>
              <w:left w:w="80" w:type="dxa"/>
              <w:right w:w="80" w:type="dxa"/>
            </w:tcMar>
          </w:tcPr>
          <w:p>
            <w:r>
              <w:rPr>
                <w:rFonts w:ascii="Times New Roman" w:hAnsi="Times New Roman"/>
                <w:b/>
                <w:color w:val="FFFFFF"/>
                <w:sz w:val="20"/>
              </w:rPr>
              <w:t>Test Category</w:t>
            </w:r>
          </w:p>
        </w:tc>
        <w:tc>
          <w:tcPr>
            <w:tcW w:type="dxa" w:w="3888"/>
            <w:shd w:fill="1F4E79"/>
            <w:tcMar>
              <w:top w:w="80" w:type="dxa"/>
              <w:bottom w:w="80" w:type="dxa"/>
              <w:left w:w="80" w:type="dxa"/>
              <w:right w:w="80" w:type="dxa"/>
            </w:tcMar>
          </w:tcPr>
          <w:p>
            <w:r>
              <w:rPr>
                <w:rFonts w:ascii="Times New Roman" w:hAnsi="Times New Roman"/>
                <w:b/>
                <w:color w:val="FFFFFF"/>
                <w:sz w:val="20"/>
              </w:rPr>
              <w:t>Test Case Description</w:t>
            </w:r>
          </w:p>
        </w:tc>
        <w:tc>
          <w:tcPr>
            <w:tcW w:type="dxa" w:w="2592"/>
            <w:shd w:fill="1F4E79"/>
            <w:tcMar>
              <w:top w:w="80" w:type="dxa"/>
              <w:bottom w:w="80" w:type="dxa"/>
              <w:left w:w="80" w:type="dxa"/>
              <w:right w:w="80" w:type="dxa"/>
            </w:tcMar>
          </w:tcPr>
          <w:p>
            <w:r>
              <w:rPr>
                <w:rFonts w:ascii="Times New Roman" w:hAnsi="Times New Roman"/>
                <w:b/>
                <w:color w:val="FFFFFF"/>
                <w:sz w:val="20"/>
              </w:rPr>
              <w:t>Expected Result</w:t>
            </w:r>
          </w:p>
        </w:tc>
        <w:tc>
          <w:tcPr>
            <w:tcW w:type="dxa" w:w="1728"/>
            <w:shd w:fill="1F4E79"/>
            <w:tcMar>
              <w:top w:w="80" w:type="dxa"/>
              <w:bottom w:w="80" w:type="dxa"/>
              <w:left w:w="80" w:type="dxa"/>
              <w:right w:w="80" w:type="dxa"/>
            </w:tcMar>
          </w:tcPr>
          <w:p>
            <w:r>
              <w:rPr>
                <w:rFonts w:ascii="Times New Roman" w:hAnsi="Times New Roman"/>
                <w:b/>
                <w:color w:val="FFFFFF"/>
                <w:sz w:val="20"/>
              </w:rPr>
              <w:t>Status</w:t>
            </w:r>
          </w:p>
        </w:tc>
      </w:tr>
      <w:tr>
        <w:tc>
          <w:tcPr>
            <w:tcW w:type="dxa" w:w="2160"/>
            <w:shd w:fill="F8FAFC"/>
            <w:tcMar>
              <w:top w:w="60" w:type="dxa"/>
              <w:bottom w:w="60" w:type="dxa"/>
              <w:left w:w="80" w:type="dxa"/>
              <w:right w:w="80" w:type="dxa"/>
            </w:tcMar>
          </w:tcPr>
          <w:p>
            <w:r>
              <w:rPr>
                <w:rFonts w:ascii="Times New Roman" w:hAnsi="Times New Roman"/>
                <w:sz w:val="19"/>
              </w:rPr>
              <w:t>Deployment &amp; Init</w:t>
            </w:r>
          </w:p>
        </w:tc>
        <w:tc>
          <w:tcPr>
            <w:tcW w:type="dxa" w:w="3888"/>
            <w:shd w:fill="F8FAFC"/>
            <w:tcMar>
              <w:top w:w="60" w:type="dxa"/>
              <w:bottom w:w="60" w:type="dxa"/>
              <w:left w:w="80" w:type="dxa"/>
              <w:right w:w="80" w:type="dxa"/>
            </w:tcMar>
          </w:tcPr>
          <w:p>
            <w:r>
              <w:rPr>
                <w:rFonts w:ascii="Times New Roman" w:hAnsi="Times New Roman"/>
                <w:sz w:val="19"/>
              </w:rPr>
              <w:t>Contract initializes with deployer as admin</w:t>
            </w:r>
          </w:p>
        </w:tc>
        <w:tc>
          <w:tcPr>
            <w:tcW w:type="dxa" w:w="2592"/>
            <w:shd w:fill="F8FAFC"/>
            <w:tcMar>
              <w:top w:w="60" w:type="dxa"/>
              <w:bottom w:w="60" w:type="dxa"/>
              <w:left w:w="80" w:type="dxa"/>
              <w:right w:w="80" w:type="dxa"/>
            </w:tcMar>
          </w:tcPr>
          <w:p>
            <w:r>
              <w:rPr>
                <w:rFonts w:ascii="Times New Roman" w:hAnsi="Times New Roman"/>
                <w:sz w:val="19"/>
              </w:rPr>
              <w:t>admin == deployer</w:t>
            </w:r>
          </w:p>
        </w:tc>
        <w:tc>
          <w:tcPr>
            <w:tcW w:type="dxa" w:w="1728"/>
            <w:shd w:fill="F8FAFC"/>
            <w:tcMar>
              <w:top w:w="60" w:type="dxa"/>
              <w:bottom w:w="60" w:type="dxa"/>
              <w:left w:w="80" w:type="dxa"/>
              <w:right w:w="80" w:type="dxa"/>
            </w:tcMar>
          </w:tcPr>
          <w:p>
            <w:r>
              <w:rPr>
                <w:rFonts w:ascii="Times New Roman" w:hAnsi="Times New Roman"/>
                <w:b/>
                <w:color w:val="059669"/>
                <w:sz w:val="19"/>
              </w:rPr>
              <w:t>PASS (100%)</w:t>
            </w:r>
          </w:p>
        </w:tc>
      </w:tr>
      <w:tr>
        <w:tc>
          <w:tcPr>
            <w:tcW w:type="dxa" w:w="2160"/>
            <w:shd w:fill="FFFFFF"/>
            <w:tcMar>
              <w:top w:w="60" w:type="dxa"/>
              <w:bottom w:w="60" w:type="dxa"/>
              <w:left w:w="80" w:type="dxa"/>
              <w:right w:w="80" w:type="dxa"/>
            </w:tcMar>
          </w:tcPr>
          <w:p>
            <w:r>
              <w:rPr>
                <w:rFonts w:ascii="Times New Roman" w:hAnsi="Times New Roman"/>
                <w:sz w:val="19"/>
              </w:rPr>
              <w:t>Doctor Registration</w:t>
            </w:r>
          </w:p>
        </w:tc>
        <w:tc>
          <w:tcPr>
            <w:tcW w:type="dxa" w:w="3888"/>
            <w:shd w:fill="FFFFFF"/>
            <w:tcMar>
              <w:top w:w="60" w:type="dxa"/>
              <w:bottom w:w="60" w:type="dxa"/>
              <w:left w:w="80" w:type="dxa"/>
              <w:right w:w="80" w:type="dxa"/>
            </w:tcMar>
          </w:tcPr>
          <w:p>
            <w:r>
              <w:rPr>
                <w:rFonts w:ascii="Times New Roman" w:hAnsi="Times New Roman"/>
                <w:sz w:val="19"/>
              </w:rPr>
              <w:t>Doctor registers profile with name and hospital</w:t>
            </w:r>
          </w:p>
        </w:tc>
        <w:tc>
          <w:tcPr>
            <w:tcW w:type="dxa" w:w="2592"/>
            <w:shd w:fill="FFFFFF"/>
            <w:tcMar>
              <w:top w:w="60" w:type="dxa"/>
              <w:bottom w:w="60" w:type="dxa"/>
              <w:left w:w="80" w:type="dxa"/>
              <w:right w:w="80" w:type="dxa"/>
            </w:tcMar>
          </w:tcPr>
          <w:p>
            <w:r>
              <w:rPr>
                <w:rFonts w:ascii="Times New Roman" w:hAnsi="Times New Roman"/>
                <w:sz w:val="19"/>
              </w:rPr>
              <w:t>isRegistered == true</w:t>
            </w:r>
          </w:p>
        </w:tc>
        <w:tc>
          <w:tcPr>
            <w:tcW w:type="dxa" w:w="1728"/>
            <w:shd w:fill="FFFFFF"/>
            <w:tcMar>
              <w:top w:w="60" w:type="dxa"/>
              <w:bottom w:w="60" w:type="dxa"/>
              <w:left w:w="80" w:type="dxa"/>
              <w:right w:w="80" w:type="dxa"/>
            </w:tcMar>
          </w:tcPr>
          <w:p>
            <w:r>
              <w:rPr>
                <w:rFonts w:ascii="Times New Roman" w:hAnsi="Times New Roman"/>
                <w:b/>
                <w:color w:val="059669"/>
                <w:sz w:val="19"/>
              </w:rPr>
              <w:t>PASS (100%)</w:t>
            </w:r>
          </w:p>
        </w:tc>
      </w:tr>
      <w:tr>
        <w:tc>
          <w:tcPr>
            <w:tcW w:type="dxa" w:w="2160"/>
            <w:shd w:fill="F8FAFC"/>
            <w:tcMar>
              <w:top w:w="60" w:type="dxa"/>
              <w:bottom w:w="60" w:type="dxa"/>
              <w:left w:w="80" w:type="dxa"/>
              <w:right w:w="80" w:type="dxa"/>
            </w:tcMar>
          </w:tcPr>
          <w:p>
            <w:r>
              <w:rPr>
                <w:rFonts w:ascii="Times New Roman" w:hAnsi="Times New Roman"/>
                <w:sz w:val="19"/>
              </w:rPr>
              <w:t>Doctor Verification</w:t>
            </w:r>
          </w:p>
        </w:tc>
        <w:tc>
          <w:tcPr>
            <w:tcW w:type="dxa" w:w="3888"/>
            <w:shd w:fill="F8FAFC"/>
            <w:tcMar>
              <w:top w:w="60" w:type="dxa"/>
              <w:bottom w:w="60" w:type="dxa"/>
              <w:left w:w="80" w:type="dxa"/>
              <w:right w:w="80" w:type="dxa"/>
            </w:tcMar>
          </w:tcPr>
          <w:p>
            <w:r>
              <w:rPr>
                <w:rFonts w:ascii="Times New Roman" w:hAnsi="Times New Roman"/>
                <w:sz w:val="19"/>
              </w:rPr>
              <w:t>Admin verifies doctor credentials</w:t>
            </w:r>
          </w:p>
        </w:tc>
        <w:tc>
          <w:tcPr>
            <w:tcW w:type="dxa" w:w="2592"/>
            <w:shd w:fill="F8FAFC"/>
            <w:tcMar>
              <w:top w:w="60" w:type="dxa"/>
              <w:bottom w:w="60" w:type="dxa"/>
              <w:left w:w="80" w:type="dxa"/>
              <w:right w:w="80" w:type="dxa"/>
            </w:tcMar>
          </w:tcPr>
          <w:p>
            <w:r>
              <w:rPr>
                <w:rFonts w:ascii="Times New Roman" w:hAnsi="Times New Roman"/>
                <w:sz w:val="19"/>
              </w:rPr>
              <w:t>isVerified == true</w:t>
            </w:r>
          </w:p>
        </w:tc>
        <w:tc>
          <w:tcPr>
            <w:tcW w:type="dxa" w:w="1728"/>
            <w:shd w:fill="F8FAFC"/>
            <w:tcMar>
              <w:top w:w="60" w:type="dxa"/>
              <w:bottom w:w="60" w:type="dxa"/>
              <w:left w:w="80" w:type="dxa"/>
              <w:right w:w="80" w:type="dxa"/>
            </w:tcMar>
          </w:tcPr>
          <w:p>
            <w:r>
              <w:rPr>
                <w:rFonts w:ascii="Times New Roman" w:hAnsi="Times New Roman"/>
                <w:b/>
                <w:color w:val="059669"/>
                <w:sz w:val="19"/>
              </w:rPr>
              <w:t>PASS (100%)</w:t>
            </w:r>
          </w:p>
        </w:tc>
      </w:tr>
      <w:tr>
        <w:tc>
          <w:tcPr>
            <w:tcW w:type="dxa" w:w="2160"/>
            <w:shd w:fill="FFFFFF"/>
            <w:tcMar>
              <w:top w:w="60" w:type="dxa"/>
              <w:bottom w:w="60" w:type="dxa"/>
              <w:left w:w="80" w:type="dxa"/>
              <w:right w:w="80" w:type="dxa"/>
            </w:tcMar>
          </w:tcPr>
          <w:p>
            <w:r>
              <w:rPr>
                <w:rFonts w:ascii="Times New Roman" w:hAnsi="Times New Roman"/>
                <w:sz w:val="19"/>
              </w:rPr>
              <w:t>Record Upload</w:t>
            </w:r>
          </w:p>
        </w:tc>
        <w:tc>
          <w:tcPr>
            <w:tcW w:type="dxa" w:w="3888"/>
            <w:shd w:fill="FFFFFF"/>
            <w:tcMar>
              <w:top w:w="60" w:type="dxa"/>
              <w:bottom w:w="60" w:type="dxa"/>
              <w:left w:w="80" w:type="dxa"/>
              <w:right w:w="80" w:type="dxa"/>
            </w:tcMar>
          </w:tcPr>
          <w:p>
            <w:r>
              <w:rPr>
                <w:rFonts w:ascii="Times New Roman" w:hAnsi="Times New Roman"/>
                <w:sz w:val="19"/>
              </w:rPr>
              <w:t>Patient adds record with IPFS CID &amp; title</w:t>
            </w:r>
          </w:p>
        </w:tc>
        <w:tc>
          <w:tcPr>
            <w:tcW w:type="dxa" w:w="2592"/>
            <w:shd w:fill="FFFFFF"/>
            <w:tcMar>
              <w:top w:w="60" w:type="dxa"/>
              <w:bottom w:w="60" w:type="dxa"/>
              <w:left w:w="80" w:type="dxa"/>
              <w:right w:w="80" w:type="dxa"/>
            </w:tcMar>
          </w:tcPr>
          <w:p>
            <w:r>
              <w:rPr>
                <w:rFonts w:ascii="Times New Roman" w:hAnsi="Times New Roman"/>
                <w:sz w:val="19"/>
              </w:rPr>
              <w:t>RecordAdded event</w:t>
            </w:r>
          </w:p>
        </w:tc>
        <w:tc>
          <w:tcPr>
            <w:tcW w:type="dxa" w:w="1728"/>
            <w:shd w:fill="FFFFFF"/>
            <w:tcMar>
              <w:top w:w="60" w:type="dxa"/>
              <w:bottom w:w="60" w:type="dxa"/>
              <w:left w:w="80" w:type="dxa"/>
              <w:right w:w="80" w:type="dxa"/>
            </w:tcMar>
          </w:tcPr>
          <w:p>
            <w:r>
              <w:rPr>
                <w:rFonts w:ascii="Times New Roman" w:hAnsi="Times New Roman"/>
                <w:b/>
                <w:color w:val="059669"/>
                <w:sz w:val="19"/>
              </w:rPr>
              <w:t>PASS (100%)</w:t>
            </w:r>
          </w:p>
        </w:tc>
      </w:tr>
      <w:tr>
        <w:tc>
          <w:tcPr>
            <w:tcW w:type="dxa" w:w="2160"/>
            <w:shd w:fill="F8FAFC"/>
            <w:tcMar>
              <w:top w:w="60" w:type="dxa"/>
              <w:bottom w:w="60" w:type="dxa"/>
              <w:left w:w="80" w:type="dxa"/>
              <w:right w:w="80" w:type="dxa"/>
            </w:tcMar>
          </w:tcPr>
          <w:p>
            <w:r>
              <w:rPr>
                <w:rFonts w:ascii="Times New Roman" w:hAnsi="Times New Roman"/>
                <w:sz w:val="19"/>
              </w:rPr>
              <w:t>Access Delegation</w:t>
            </w:r>
          </w:p>
        </w:tc>
        <w:tc>
          <w:tcPr>
            <w:tcW w:type="dxa" w:w="3888"/>
            <w:shd w:fill="F8FAFC"/>
            <w:tcMar>
              <w:top w:w="60" w:type="dxa"/>
              <w:bottom w:w="60" w:type="dxa"/>
              <w:left w:w="80" w:type="dxa"/>
              <w:right w:w="80" w:type="dxa"/>
            </w:tcMar>
          </w:tcPr>
          <w:p>
            <w:r>
              <w:rPr>
                <w:rFonts w:ascii="Times New Roman" w:hAnsi="Times New Roman"/>
                <w:sz w:val="19"/>
              </w:rPr>
              <w:t>Patient grants doctor access</w:t>
            </w:r>
          </w:p>
        </w:tc>
        <w:tc>
          <w:tcPr>
            <w:tcW w:type="dxa" w:w="2592"/>
            <w:shd w:fill="F8FAFC"/>
            <w:tcMar>
              <w:top w:w="60" w:type="dxa"/>
              <w:bottom w:w="60" w:type="dxa"/>
              <w:left w:w="80" w:type="dxa"/>
              <w:right w:w="80" w:type="dxa"/>
            </w:tcMar>
          </w:tcPr>
          <w:p>
            <w:r>
              <w:rPr>
                <w:rFonts w:ascii="Times New Roman" w:hAnsi="Times New Roman"/>
                <w:sz w:val="19"/>
              </w:rPr>
              <w:t>doctorPermissions == true</w:t>
            </w:r>
          </w:p>
        </w:tc>
        <w:tc>
          <w:tcPr>
            <w:tcW w:type="dxa" w:w="1728"/>
            <w:shd w:fill="F8FAFC"/>
            <w:tcMar>
              <w:top w:w="60" w:type="dxa"/>
              <w:bottom w:w="60" w:type="dxa"/>
              <w:left w:w="80" w:type="dxa"/>
              <w:right w:w="80" w:type="dxa"/>
            </w:tcMar>
          </w:tcPr>
          <w:p>
            <w:r>
              <w:rPr>
                <w:rFonts w:ascii="Times New Roman" w:hAnsi="Times New Roman"/>
                <w:b/>
                <w:color w:val="059669"/>
                <w:sz w:val="19"/>
              </w:rPr>
              <w:t>PASS (100%)</w:t>
            </w:r>
          </w:p>
        </w:tc>
      </w:tr>
      <w:tr>
        <w:tc>
          <w:tcPr>
            <w:tcW w:type="dxa" w:w="2160"/>
            <w:shd w:fill="FFFFFF"/>
            <w:tcMar>
              <w:top w:w="60" w:type="dxa"/>
              <w:bottom w:w="60" w:type="dxa"/>
              <w:left w:w="80" w:type="dxa"/>
              <w:right w:w="80" w:type="dxa"/>
            </w:tcMar>
          </w:tcPr>
          <w:p>
            <w:r>
              <w:rPr>
                <w:rFonts w:ascii="Times New Roman" w:hAnsi="Times New Roman"/>
                <w:sz w:val="19"/>
              </w:rPr>
              <w:t>Access Revocation</w:t>
            </w:r>
          </w:p>
        </w:tc>
        <w:tc>
          <w:tcPr>
            <w:tcW w:type="dxa" w:w="3888"/>
            <w:shd w:fill="FFFFFF"/>
            <w:tcMar>
              <w:top w:w="60" w:type="dxa"/>
              <w:bottom w:w="60" w:type="dxa"/>
              <w:left w:w="80" w:type="dxa"/>
              <w:right w:w="80" w:type="dxa"/>
            </w:tcMar>
          </w:tcPr>
          <w:p>
            <w:r>
              <w:rPr>
                <w:rFonts w:ascii="Times New Roman" w:hAnsi="Times New Roman"/>
                <w:sz w:val="19"/>
              </w:rPr>
              <w:t>Doctor denied access after patient revocation</w:t>
            </w:r>
          </w:p>
        </w:tc>
        <w:tc>
          <w:tcPr>
            <w:tcW w:type="dxa" w:w="2592"/>
            <w:shd w:fill="FFFFFF"/>
            <w:tcMar>
              <w:top w:w="60" w:type="dxa"/>
              <w:bottom w:w="60" w:type="dxa"/>
              <w:left w:w="80" w:type="dxa"/>
              <w:right w:w="80" w:type="dxa"/>
            </w:tcMar>
          </w:tcPr>
          <w:p>
            <w:r>
              <w:rPr>
                <w:rFonts w:ascii="Times New Roman" w:hAnsi="Times New Roman"/>
                <w:sz w:val="19"/>
              </w:rPr>
              <w:t>revert('Access denied')</w:t>
            </w:r>
          </w:p>
        </w:tc>
        <w:tc>
          <w:tcPr>
            <w:tcW w:type="dxa" w:w="1728"/>
            <w:shd w:fill="FFFFFF"/>
            <w:tcMar>
              <w:top w:w="60" w:type="dxa"/>
              <w:bottom w:w="60" w:type="dxa"/>
              <w:left w:w="80" w:type="dxa"/>
              <w:right w:w="80" w:type="dxa"/>
            </w:tcMar>
          </w:tcPr>
          <w:p>
            <w:r>
              <w:rPr>
                <w:rFonts w:ascii="Times New Roman" w:hAnsi="Times New Roman"/>
                <w:b/>
                <w:color w:val="059669"/>
                <w:sz w:val="19"/>
              </w:rPr>
              <w:t>PASS (100%)</w:t>
            </w:r>
          </w:p>
        </w:tc>
      </w:tr>
    </w:tbl>
    <w:p>
      <w:pPr>
        <w:spacing w:after="200"/>
        <w:jc w:val="center"/>
      </w:pPr>
      <w:r>
        <w:rPr>
          <w:rFonts w:ascii="Times New Roman" w:hAnsi="Times New Roman"/>
          <w:b/>
          <w:i/>
          <w:sz w:val="22"/>
        </w:rPr>
        <w:t>Table 5.1: Smart Contract Automated Unit Test Execution Results (Hardhat)</w:t>
      </w:r>
    </w:p>
    <w:p>
      <w:pPr>
        <w:spacing w:line="276" w:lineRule="auto" w:after="120"/>
        <w:jc w:val="both"/>
      </w:pPr>
      <w:r>
        <w:rPr>
          <w:rFonts w:ascii="Times New Roman" w:hAnsi="Times New Roman"/>
          <w:b/>
          <w:color w:val="0F172A"/>
          <w:sz w:val="24"/>
        </w:rPr>
        <w:t xml:space="preserve">Performance &amp; Gas Benchmarks: </w:t>
      </w:r>
      <w:r>
        <w:rPr>
          <w:rFonts w:ascii="Times New Roman" w:hAnsi="Times New Roman"/>
          <w:color w:val="1E293B"/>
          <w:sz w:val="24"/>
        </w:rPr>
        <w:t>EVM Gas Profiling and Cryptographic Latency Benchmarking:</w:t>
      </w:r>
    </w:p>
    <w:p>
      <w:pPr>
        <w:spacing w:before="200" w:after="80"/>
        <w:jc w:val="center"/>
      </w:pPr>
      <w:r>
        <w:drawing>
          <wp:inline xmlns:a="http://schemas.openxmlformats.org/drawingml/2006/main" xmlns:pic="http://schemas.openxmlformats.org/drawingml/2006/picture">
            <wp:extent cx="5669280" cy="2202454"/>
            <wp:docPr id="5" name="Picture 5"/>
            <wp:cNvGraphicFramePr>
              <a:graphicFrameLocks noChangeAspect="1"/>
            </wp:cNvGraphicFramePr>
            <a:graphic>
              <a:graphicData uri="http://schemas.openxmlformats.org/drawingml/2006/picture">
                <pic:pic>
                  <pic:nvPicPr>
                    <pic:cNvPr id="0" name="gas_benchmark_chart.png"/>
                    <pic:cNvPicPr/>
                  </pic:nvPicPr>
                  <pic:blipFill>
                    <a:blip r:embed="rId13"/>
                    <a:stretch>
                      <a:fillRect/>
                    </a:stretch>
                  </pic:blipFill>
                  <pic:spPr>
                    <a:xfrm>
                      <a:off x="0" y="0"/>
                      <a:ext cx="5669280" cy="2202454"/>
                    </a:xfrm>
                    <a:prstGeom prst="rect"/>
                  </pic:spPr>
                </pic:pic>
              </a:graphicData>
            </a:graphic>
          </wp:inline>
        </w:drawing>
      </w:r>
    </w:p>
    <w:p>
      <w:pPr>
        <w:spacing w:after="240"/>
        <w:jc w:val="center"/>
      </w:pPr>
      <w:r>
        <w:rPr>
          <w:rFonts w:ascii="Times New Roman" w:hAnsi="Times New Roman"/>
          <w:b/>
          <w:i/>
          <w:color w:val="475569"/>
          <w:sz w:val="22"/>
        </w:rPr>
        <w:t>Fig. 5.1: Smart Contract EVM Gas Profiling &amp; Cryptographic Latency Benchmarks</w:t>
      </w:r>
    </w:p>
    <w:p>
      <w:pPr>
        <w:keepNext/>
        <w:spacing w:before="280" w:after="120" w:line="360" w:lineRule="auto"/>
      </w:pPr>
      <w:r>
        <w:rPr>
          <w:rFonts w:ascii="Times New Roman" w:hAnsi="Times New Roman"/>
          <w:b/>
          <w:color w:val="0F172A"/>
          <w:sz w:val="26"/>
        </w:rPr>
        <w:t>5.5 Security &amp; Compliance Analysis</w:t>
      </w:r>
    </w:p>
    <w:p>
      <w:pPr>
        <w:spacing w:line="276" w:lineRule="auto" w:after="120"/>
        <w:jc w:val="both"/>
      </w:pPr>
      <w:r>
        <w:rPr>
          <w:rFonts w:ascii="Times New Roman" w:hAnsi="Times New Roman"/>
          <w:color w:val="1E293B"/>
          <w:sz w:val="24"/>
        </w:rPr>
        <w:t>CareChain was subjected to comprehensive vulnerability scanning and regulatory audit analysis:</w:t>
      </w:r>
    </w:p>
    <w:p>
      <w:pPr>
        <w:pStyle w:val="ListBullet"/>
        <w:spacing w:line="276" w:lineRule="auto" w:after="80"/>
        <w:ind w:left="576"/>
      </w:pPr>
      <w:r>
        <w:rPr>
          <w:rFonts w:ascii="Times New Roman" w:hAnsi="Times New Roman"/>
          <w:b/>
          <w:sz w:val="24"/>
        </w:rPr>
        <w:t xml:space="preserve">HIPAA Security Rule Compliance: </w:t>
      </w:r>
      <w:r>
        <w:rPr>
          <w:rFonts w:ascii="Times New Roman" w:hAnsi="Times New Roman"/>
          <w:sz w:val="24"/>
        </w:rPr>
        <w:t xml:space="preserve"> Complies with Technical Safeguards (§164.312) via AES-256-GCM symmetric encryption at rest and in transit, unique user identification, automatic session termination, and tamper-proof on-chain access auditing.</w:t>
      </w:r>
    </w:p>
    <w:p>
      <w:pPr>
        <w:pStyle w:val="ListBullet"/>
        <w:spacing w:line="276" w:lineRule="auto" w:after="80"/>
        <w:ind w:left="576"/>
      </w:pPr>
      <w:r>
        <w:rPr>
          <w:rFonts w:ascii="Times New Roman" w:hAnsi="Times New Roman"/>
          <w:b/>
          <w:sz w:val="24"/>
        </w:rPr>
        <w:t xml:space="preserve">GDPR Compliance (Crypto-Shredding): </w:t>
      </w:r>
      <w:r>
        <w:rPr>
          <w:rFonts w:ascii="Times New Roman" w:hAnsi="Times New Roman"/>
          <w:sz w:val="24"/>
        </w:rPr>
        <w:t xml:space="preserve"> Complies with Article 17 (Right to Erasure) via crypto-shredding. When a patient revokes or destroys their private symmetric decryption key, all off-chain ciphertexts pinned to IPFS become mathematically unrecoverable.</w:t>
      </w:r>
    </w:p>
    <w:p>
      <w:r>
        <w:br w:type="page"/>
      </w:r>
    </w:p>
    <w:p>
      <w:pPr>
        <w:keepNext/>
        <w:spacing w:before="360" w:after="160" w:line="360" w:lineRule="auto"/>
      </w:pPr>
      <w:r>
        <w:rPr>
          <w:rFonts w:ascii="Times New Roman" w:hAnsi="Times New Roman"/>
          <w:b/>
          <w:color w:val="1F4E79"/>
          <w:sz w:val="28"/>
        </w:rPr>
        <w:t>6. CONCLUSION AND FUTURE WORK</w:t>
      </w:r>
    </w:p>
    <w:p>
      <w:pPr>
        <w:keepNext/>
        <w:spacing w:before="280" w:after="120" w:line="360" w:lineRule="auto"/>
      </w:pPr>
      <w:r>
        <w:rPr>
          <w:rFonts w:ascii="Times New Roman" w:hAnsi="Times New Roman"/>
          <w:b/>
          <w:color w:val="0F172A"/>
          <w:sz w:val="26"/>
        </w:rPr>
        <w:t>6.1 Review-2 Progress Summary</w:t>
      </w:r>
    </w:p>
    <w:p>
      <w:pPr>
        <w:spacing w:line="276" w:lineRule="auto" w:after="120"/>
        <w:jc w:val="both"/>
      </w:pPr>
      <w:r>
        <w:rPr>
          <w:rFonts w:ascii="Times New Roman" w:hAnsi="Times New Roman"/>
          <w:color w:val="1E293B"/>
          <w:sz w:val="24"/>
        </w:rPr>
        <w:t>The Review-2 milestone represents approximately 75% completion of the CareChain project. The core architectural objectives have been successfully achieved: the hybrid off-chain/on-chain framework has been designed and implemented; client-side AES-256-GCM encryption ensures zero plaintext Protected Health Information (PHI) is ever exposed; Pinata IPFS file pinning provides resilient decentralized storage; and Solidity smart contracts govern granular doctor access permissions and verified doctor registries with 100% automated test coverage. Role-based portals for Patients, Doctors, and Administrators are operational.</w:t>
      </w:r>
    </w:p>
    <w:p>
      <w:pPr>
        <w:keepNext/>
        <w:spacing w:before="280" w:after="120" w:line="360" w:lineRule="auto"/>
      </w:pPr>
      <w:r>
        <w:rPr>
          <w:rFonts w:ascii="Times New Roman" w:hAnsi="Times New Roman"/>
          <w:b/>
          <w:color w:val="0F172A"/>
          <w:sz w:val="26"/>
        </w:rPr>
        <w:t>6.2 Roadmap to Final Review</w:t>
      </w:r>
    </w:p>
    <w:p>
      <w:pPr>
        <w:spacing w:line="276" w:lineRule="auto" w:after="120"/>
        <w:jc w:val="both"/>
      </w:pPr>
      <w:r>
        <w:rPr>
          <w:rFonts w:ascii="Times New Roman" w:hAnsi="Times New Roman"/>
          <w:color w:val="1E293B"/>
          <w:sz w:val="24"/>
        </w:rPr>
        <w:t>Between Review-2 and the Final Review (scheduled for late October 2026), development will focus on the following advanced extensions:</w:t>
      </w:r>
    </w:p>
    <w:p>
      <w:pPr>
        <w:pStyle w:val="ListBullet"/>
        <w:spacing w:line="276" w:lineRule="auto" w:after="80"/>
        <w:ind w:left="576"/>
      </w:pPr>
      <w:r>
        <w:rPr>
          <w:rFonts w:ascii="Times New Roman" w:hAnsi="Times New Roman"/>
          <w:b/>
          <w:sz w:val="24"/>
        </w:rPr>
        <w:t xml:space="preserve">1. ERC-4337 Account Abstraction: </w:t>
      </w:r>
      <w:r>
        <w:rPr>
          <w:rFonts w:ascii="Times New Roman" w:hAnsi="Times New Roman"/>
          <w:sz w:val="24"/>
        </w:rPr>
        <w:t xml:space="preserve"> Replace complex seed phrases with WebAuthn passkeys (TouchID / FaceID) sponsored by hospital paymaster relayers for zero-friction user onboarding.</w:t>
      </w:r>
    </w:p>
    <w:p>
      <w:pPr>
        <w:pStyle w:val="ListBullet"/>
        <w:spacing w:line="276" w:lineRule="auto" w:after="80"/>
        <w:ind w:left="576"/>
      </w:pPr>
      <w:r>
        <w:rPr>
          <w:rFonts w:ascii="Times New Roman" w:hAnsi="Times New Roman"/>
          <w:b/>
          <w:sz w:val="24"/>
        </w:rPr>
        <w:t xml:space="preserve">2. Break-Glass Emergency Protocol: </w:t>
      </w:r>
      <w:r>
        <w:rPr>
          <w:rFonts w:ascii="Times New Roman" w:hAnsi="Times New Roman"/>
          <w:sz w:val="24"/>
        </w:rPr>
        <w:t xml:space="preserve"> Implement time-delayed multi-signature cryptographic override protocols for unconscious emergency room patients, backed by automated on-chain penalty audits.</w:t>
      </w:r>
    </w:p>
    <w:p>
      <w:pPr>
        <w:pStyle w:val="ListBullet"/>
        <w:spacing w:line="276" w:lineRule="auto" w:after="80"/>
        <w:ind w:left="576"/>
      </w:pPr>
      <w:r>
        <w:rPr>
          <w:rFonts w:ascii="Times New Roman" w:hAnsi="Times New Roman"/>
          <w:b/>
          <w:sz w:val="24"/>
        </w:rPr>
        <w:t xml:space="preserve">3. Zero-Knowledge Proofs (zk-SNARKs): </w:t>
      </w:r>
      <w:r>
        <w:rPr>
          <w:rFonts w:ascii="Times New Roman" w:hAnsi="Times New Roman"/>
          <w:sz w:val="24"/>
        </w:rPr>
        <w:t xml:space="preserve"> Construct zk-SNARK circuits allowing patients to prove medical eligibility (e.g. lab metrics or age) without disclosing raw medical records.</w:t>
      </w:r>
    </w:p>
    <w:p>
      <w:pPr>
        <w:pStyle w:val="ListBullet"/>
        <w:spacing w:line="276" w:lineRule="auto" w:after="80"/>
        <w:ind w:left="576"/>
      </w:pPr>
      <w:r>
        <w:rPr>
          <w:rFonts w:ascii="Times New Roman" w:hAnsi="Times New Roman"/>
          <w:b/>
          <w:sz w:val="24"/>
        </w:rPr>
        <w:t xml:space="preserve">4. Publication &amp; Mainnet Deployment: </w:t>
      </w:r>
      <w:r>
        <w:rPr>
          <w:rFonts w:ascii="Times New Roman" w:hAnsi="Times New Roman"/>
          <w:sz w:val="24"/>
        </w:rPr>
        <w:t xml:space="preserve"> Finalize experimental benchmarks across multi-hospital testbeds and submit manuscript for publication in a Scopus-indexed venue.</w:t>
      </w:r>
    </w:p>
    <w:p>
      <w:r>
        <w:br w:type="page"/>
      </w:r>
    </w:p>
    <w:p>
      <w:pPr>
        <w:keepNext/>
        <w:spacing w:before="360" w:after="160" w:line="360" w:lineRule="auto"/>
      </w:pPr>
      <w:r>
        <w:rPr>
          <w:rFonts w:ascii="Times New Roman" w:hAnsi="Times New Roman"/>
          <w:b/>
          <w:color w:val="1F4E79"/>
          <w:sz w:val="28"/>
        </w:rPr>
        <w:t>7. REFERENCES</w:t>
      </w:r>
    </w:p>
    <w:p>
      <w:pPr>
        <w:spacing w:line="276" w:lineRule="auto" w:after="120"/>
        <w:ind w:left="576" w:hanging="576"/>
      </w:pPr>
      <w:r>
        <w:rPr>
          <w:rFonts w:ascii="Times New Roman" w:hAnsi="Times New Roman"/>
          <w:color w:val="1E293B"/>
          <w:sz w:val="22"/>
        </w:rPr>
        <w:t>[1] A. Azaria, A. Ekblaw, T. Vieira, and A. Lippman, "MedRec: Using blockchain for medical data access and permission management," in Proc. IEEE 2nd Int. Conf. Open &amp; Big Data (OBD), Vienna, Austria, 2016, pp. 25–30.</w:t>
      </w:r>
    </w:p>
    <w:p>
      <w:pPr>
        <w:spacing w:line="276" w:lineRule="auto" w:after="120"/>
        <w:ind w:left="576" w:hanging="576"/>
      </w:pPr>
      <w:r>
        <w:rPr>
          <w:rFonts w:ascii="Times New Roman" w:hAnsi="Times New Roman"/>
          <w:color w:val="1E293B"/>
          <w:sz w:val="22"/>
        </w:rPr>
        <w:t>[2] Q. Xia, E. B. Sifah, K. O. Asamoah, J. Gao, X. Du, and M. Guizani, "MeDShare: Trust-less medical data sharing among cloud service providers via blockchain," IEEE Access, vol. 5, pp. 14757–14767, 2017.</w:t>
      </w:r>
    </w:p>
    <w:p>
      <w:pPr>
        <w:spacing w:line="276" w:lineRule="auto" w:after="120"/>
        <w:ind w:left="576" w:hanging="576"/>
      </w:pPr>
      <w:r>
        <w:rPr>
          <w:rFonts w:ascii="Times New Roman" w:hAnsi="Times New Roman"/>
          <w:color w:val="1E293B"/>
          <w:sz w:val="22"/>
        </w:rPr>
        <w:t>[3] A. Dubovitskaya, Z. Xu, S. Ryu, M. Schumacher, and F. Wang, "Secure and trustable electronic medical records sharing using blockchain," AMIA Annu. Symp. Proc., vol. 2017, pp. 650–659, 2017.</w:t>
      </w:r>
    </w:p>
    <w:p>
      <w:pPr>
        <w:spacing w:line="276" w:lineRule="auto" w:after="120"/>
        <w:ind w:left="576" w:hanging="576"/>
      </w:pPr>
      <w:r>
        <w:rPr>
          <w:rFonts w:ascii="Times New Roman" w:hAnsi="Times New Roman"/>
          <w:color w:val="1E293B"/>
          <w:sz w:val="22"/>
        </w:rPr>
        <w:t>[4] U. Shahnaz, F. Javaid, and H. J. Al-Aboody, "Using blockchain for electronic health records," IEEE Access, vol. 7, pp. 147782–147795, 2019.</w:t>
      </w:r>
    </w:p>
    <w:p>
      <w:pPr>
        <w:spacing w:line="276" w:lineRule="auto" w:after="120"/>
        <w:ind w:left="576" w:hanging="576"/>
      </w:pPr>
      <w:r>
        <w:rPr>
          <w:rFonts w:ascii="Times New Roman" w:hAnsi="Times New Roman"/>
          <w:color w:val="1E293B"/>
          <w:sz w:val="22"/>
        </w:rPr>
        <w:t>[5] X. Yue, H. Wang, D. Jin, M. Li, and W. Jiang, "Healthcare Data Gateways: Found Healthcare Intelligence on Blockchain with Novel Privacy Risk Control," Journal of Medical Systems, vol. 40, no. 10, art. 218, 2016.</w:t>
      </w:r>
    </w:p>
    <w:p>
      <w:pPr>
        <w:spacing w:line="276" w:lineRule="auto" w:after="120"/>
        <w:ind w:left="576" w:hanging="576"/>
      </w:pPr>
      <w:r>
        <w:rPr>
          <w:rFonts w:ascii="Times New Roman" w:hAnsi="Times New Roman"/>
          <w:color w:val="1E293B"/>
          <w:sz w:val="22"/>
        </w:rPr>
        <w:t>[6] J. Benet, "IPFS - Content Addressed, Versioned, P2P File System," arXiv preprint arXiv:1407.3561, 2014.</w:t>
      </w:r>
    </w:p>
    <w:p>
      <w:pPr>
        <w:spacing w:line="276" w:lineRule="auto" w:after="120"/>
        <w:ind w:left="576" w:hanging="576"/>
      </w:pPr>
      <w:r>
        <w:rPr>
          <w:rFonts w:ascii="Times New Roman" w:hAnsi="Times New Roman"/>
          <w:color w:val="1E293B"/>
          <w:sz w:val="22"/>
        </w:rPr>
        <w:t>[7] V. Buterin, "Ethereum white paper: A next-generation smart contract and decentralized application platform," 2014.</w:t>
      </w:r>
    </w:p>
    <w:p>
      <w:pPr>
        <w:spacing w:line="276" w:lineRule="auto" w:after="120"/>
        <w:ind w:left="576" w:hanging="576"/>
      </w:pPr>
      <w:r>
        <w:rPr>
          <w:rFonts w:ascii="Times New Roman" w:hAnsi="Times New Roman"/>
          <w:color w:val="1E293B"/>
          <w:sz w:val="22"/>
        </w:rPr>
        <w:t>[8] S. Nakamoto, "Bitcoin: A peer-to-peer electronic cash system," Decentralized Business Review, 2008.</w:t>
      </w:r>
    </w:p>
    <w:p>
      <w:pPr>
        <w:spacing w:line="276" w:lineRule="auto" w:after="120"/>
        <w:ind w:left="576" w:hanging="576"/>
      </w:pPr>
      <w:r>
        <w:rPr>
          <w:rFonts w:ascii="Times New Roman" w:hAnsi="Times New Roman"/>
          <w:color w:val="1E293B"/>
          <w:sz w:val="22"/>
        </w:rPr>
        <w:t>[9] M. M. Mettler, "Blockchain technology in healthcare: The revolution starts here," in 2016 IEEE 18th Int. Conf. e-Health Networking, Applications and Services (Healthcom), 2016, pp. 1–3.</w:t>
      </w:r>
    </w:p>
    <w:p>
      <w:pPr>
        <w:spacing w:line="276" w:lineRule="auto" w:after="120"/>
        <w:ind w:left="576" w:hanging="576"/>
      </w:pPr>
      <w:r>
        <w:rPr>
          <w:rFonts w:ascii="Times New Roman" w:hAnsi="Times New Roman"/>
          <w:color w:val="1E293B"/>
          <w:sz w:val="22"/>
        </w:rPr>
        <w:t>[10] P. Zhang, J. White, D. C. Schmidt, G. Lenz, and S. T. Rosenbloom, "FHIRChain: Applying blockchain to securely facilitate clinical data sharing," Computers in Biology and Medicine, vol. 100, pp. 267–278, 2018.</w:t>
      </w:r>
    </w:p>
    <w:p>
      <w:pPr>
        <w:spacing w:line="276" w:lineRule="auto" w:after="120"/>
        <w:ind w:left="576" w:hanging="576"/>
      </w:pPr>
      <w:r>
        <w:rPr>
          <w:rFonts w:ascii="Times New Roman" w:hAnsi="Times New Roman"/>
          <w:color w:val="1E293B"/>
          <w:sz w:val="22"/>
        </w:rPr>
        <w:t>[11] T. T. Kuo, H. E. Kim, and L. Ohno-Machado, "Blockchain distributed ledger technologies for biomedical and health care applications," J. Am. Med. Inform. Assoc., vol. 24, no. 6, pp. 1211–1220, 2017.</w:t>
      </w:r>
    </w:p>
    <w:p>
      <w:pPr>
        <w:spacing w:line="276" w:lineRule="auto" w:after="120"/>
        <w:ind w:left="576" w:hanging="576"/>
      </w:pPr>
      <w:r>
        <w:rPr>
          <w:rFonts w:ascii="Times New Roman" w:hAnsi="Times New Roman"/>
          <w:color w:val="1E293B"/>
          <w:sz w:val="22"/>
        </w:rPr>
        <w:t>[12] G. Wood, "Ethereum: A secure decentralised generalised transaction ledger," Ethereum Project Yellow Paper, vol. 151, pp. 1–32, 2014.</w:t>
      </w:r>
    </w:p>
    <w:p>
      <w:pPr>
        <w:spacing w:line="276" w:lineRule="auto" w:after="120"/>
        <w:ind w:left="576" w:hanging="576"/>
      </w:pPr>
      <w:r>
        <w:rPr>
          <w:rFonts w:ascii="Times New Roman" w:hAnsi="Times New Roman"/>
          <w:color w:val="1E293B"/>
          <w:sz w:val="22"/>
        </w:rPr>
        <w:t>[13] D. Dolev and A. C. Yao, "On the security of public key protocols," IEEE Trans. Inf. Theory, vol. 29, no. 2, pp. 198–208, 1983.</w:t>
      </w:r>
    </w:p>
    <w:p>
      <w:pPr>
        <w:spacing w:line="276" w:lineRule="auto" w:after="120"/>
        <w:ind w:left="576" w:hanging="576"/>
      </w:pPr>
      <w:r>
        <w:rPr>
          <w:rFonts w:ascii="Times New Roman" w:hAnsi="Times New Roman"/>
          <w:color w:val="1E293B"/>
          <w:sz w:val="22"/>
        </w:rPr>
        <w:t>[14] M. Bellare and P. Rogaway, "Introduction to modern cryptography," UCSD CSE, vol. 207, 2005.</w:t>
      </w:r>
    </w:p>
    <w:p>
      <w:pPr>
        <w:spacing w:line="276" w:lineRule="auto" w:after="120"/>
        <w:ind w:left="576" w:hanging="576"/>
      </w:pPr>
      <w:r>
        <w:rPr>
          <w:rFonts w:ascii="Times New Roman" w:hAnsi="Times New Roman"/>
          <w:color w:val="1E293B"/>
          <w:sz w:val="22"/>
        </w:rPr>
        <w:t>[15] National Institute of Standards and Technology (NIST), "Recommendation for Block Cipher Modes of Operation: Galois/Counter Mode (GCM) and GMAC," NIST Special Publication 800-38D, 2007.</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