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B6320" w14:textId="77777777" w:rsidR="00C1402B" w:rsidRDefault="00C1402B" w:rsidP="00C1402B">
      <w:pPr>
        <w:pStyle w:val="NormalWeb"/>
      </w:pPr>
      <w:r>
        <w:t>No ___________</w:t>
      </w:r>
    </w:p>
    <w:p w14:paraId="3DA6A7EE" w14:textId="77777777" w:rsidR="00C1402B" w:rsidRDefault="00C1402B" w:rsidP="00C1402B">
      <w:pPr>
        <w:pStyle w:val="NormalWeb"/>
      </w:pPr>
      <w:r>
        <w:t xml:space="preserve">HQ Project </w:t>
      </w:r>
      <w:proofErr w:type="spellStart"/>
      <w:r>
        <w:t>Arunank</w:t>
      </w:r>
      <w:proofErr w:type="spellEnd"/>
      <w:r>
        <w:br/>
        <w:t>Border Roads Organisation</w:t>
      </w:r>
    </w:p>
    <w:p w14:paraId="3D851F1E" w14:textId="77777777" w:rsidR="00C1402B" w:rsidRDefault="00C1402B" w:rsidP="00C1402B">
      <w:pPr>
        <w:pStyle w:val="NormalWeb"/>
      </w:pPr>
      <w:r>
        <w:t>Date: _________</w:t>
      </w:r>
    </w:p>
    <w:p w14:paraId="37078A94" w14:textId="77777777" w:rsidR="00C1402B" w:rsidRDefault="00C1402B" w:rsidP="00C1402B">
      <w:pPr>
        <w:pStyle w:val="NormalWeb"/>
      </w:pPr>
      <w:r>
        <w:t>To,</w:t>
      </w:r>
    </w:p>
    <w:p w14:paraId="375C30F3" w14:textId="77777777" w:rsidR="00C1402B" w:rsidRDefault="00C1402B" w:rsidP="00C1402B">
      <w:pPr>
        <w:pStyle w:val="NormalWeb"/>
      </w:pPr>
      <w:r>
        <w:t>The Director General Border Roads</w:t>
      </w:r>
      <w:r>
        <w:br/>
        <w:t>Seema Sadak Bhawan</w:t>
      </w:r>
      <w:r>
        <w:br/>
        <w:t>New Delhi</w:t>
      </w:r>
    </w:p>
    <w:p w14:paraId="66CEA44E" w14:textId="77777777" w:rsidR="00C1402B" w:rsidRDefault="00C1402B" w:rsidP="00C1402B">
      <w:pPr>
        <w:pStyle w:val="NormalWeb"/>
      </w:pPr>
      <w:r>
        <w:t>Copy to:</w:t>
      </w:r>
    </w:p>
    <w:p w14:paraId="20822FDC" w14:textId="77777777" w:rsidR="00C1402B" w:rsidRDefault="00C1402B" w:rsidP="00C1402B">
      <w:pPr>
        <w:pStyle w:val="NormalWeb"/>
      </w:pPr>
      <w:r>
        <w:t>The Regional Officer</w:t>
      </w:r>
      <w:r>
        <w:br/>
        <w:t>Ministry of Road Transport &amp; Highways</w:t>
      </w:r>
      <w:r>
        <w:br/>
        <w:t>Itanagar, Arunachal Pradesh</w:t>
      </w:r>
    </w:p>
    <w:p w14:paraId="3D72D780" w14:textId="77777777" w:rsidR="00C1402B" w:rsidRDefault="00C1402B" w:rsidP="00C1402B">
      <w:pPr>
        <w:pStyle w:val="NormalWeb"/>
      </w:pPr>
      <w:r>
        <w:t>Subject: Clarification regarding delineation of responsibilities amongst MoRTH, BRO and Authority's Engineer for execution of MoRTH-funded EPC works entrusted to BRO – NH-913 Frontier Highway (Km 168.000 to Km 183.400).</w:t>
      </w:r>
    </w:p>
    <w:p w14:paraId="79C21566" w14:textId="77777777" w:rsidR="00C1402B" w:rsidRDefault="00C1402B" w:rsidP="00C1402B">
      <w:pPr>
        <w:pStyle w:val="NormalWeb"/>
      </w:pPr>
      <w:r>
        <w:t>Sir,</w:t>
      </w:r>
    </w:p>
    <w:p w14:paraId="25BBEA55" w14:textId="77777777" w:rsidR="00C1402B" w:rsidRDefault="00C1402B" w:rsidP="00C1402B">
      <w:pPr>
        <w:pStyle w:val="NormalWeb"/>
        <w:numPr>
          <w:ilvl w:val="0"/>
          <w:numId w:val="1"/>
        </w:numPr>
      </w:pPr>
      <w:r>
        <w:t>Reference is invited to the EPC Agreement for “Construction of Road from Km 168.000 to Km 183.400 of Lada–Sarli Section of NH-913 (Frontier Highway) to Intermediate Lane Standard on EPC Mode in the State of Arunachal Pradesh” and the existing policy guidelines governing execution of EPC works in BRO.</w:t>
      </w:r>
    </w:p>
    <w:p w14:paraId="35199785" w14:textId="77777777" w:rsidR="00C1402B" w:rsidRDefault="00C1402B" w:rsidP="00C1402B">
      <w:pPr>
        <w:pStyle w:val="NormalWeb"/>
        <w:numPr>
          <w:ilvl w:val="0"/>
          <w:numId w:val="1"/>
        </w:numPr>
      </w:pPr>
      <w:r>
        <w:t>The subject work has been sanctioned and funded by Ministry of Road Transport &amp; Highways (MoRTH) and its execution has been entrusted to BRO. It is understood that MoRTH is separately processing the engagement of an Authority's Engineer through an independent consultancy contract for supervision and contract administration of the subject work.</w:t>
      </w:r>
    </w:p>
    <w:p w14:paraId="31D69E96" w14:textId="77777777" w:rsidR="00C1402B" w:rsidRDefault="00C1402B" w:rsidP="00C1402B">
      <w:pPr>
        <w:pStyle w:val="NormalWeb"/>
        <w:numPr>
          <w:ilvl w:val="0"/>
          <w:numId w:val="1"/>
        </w:numPr>
      </w:pPr>
      <w:r>
        <w:t>As per the EPC Contract framework, the Authority's Engineer performs functions relating to supervision of works, quality assurance, certification, measurements, issue of recommendations, determination of contractual matters, certification of payments, completion certification and other duties prescribed under the EPC Agreement. Simultaneously, the BRO EPC implementation framework envisages establishment of Project Implementation Cells and nomination of Project Directors who are required to act as the interface between the Contractor, Authority's Engineer and the Implementing Agency and facilitate administration of the contract. Further, the Project Director is required to ensure execution of works in accordance with Contract Agreement provisions under supervision of the Authority's Engineer and maintain necessary checks and balances for quality assurance and progress monitoring.</w:t>
      </w:r>
    </w:p>
    <w:p w14:paraId="118EAF18" w14:textId="77777777" w:rsidR="00C1402B" w:rsidRDefault="00C1402B" w:rsidP="00C1402B">
      <w:pPr>
        <w:pStyle w:val="NormalWeb"/>
        <w:numPr>
          <w:ilvl w:val="0"/>
          <w:numId w:val="1"/>
        </w:numPr>
      </w:pPr>
      <w:r>
        <w:t>Since the present arrangement differs from the conventional BRO EPC model wherein the Authority and the implementing agency are generally part of the same organisational structure, certain aspects of contract administration require clarification for ensuring uniform implementation and avoiding jurisdictional ambiguities during execution.</w:t>
      </w:r>
    </w:p>
    <w:p w14:paraId="29DFF3F4" w14:textId="77777777" w:rsidR="00C1402B" w:rsidRDefault="00C1402B" w:rsidP="00C1402B">
      <w:pPr>
        <w:pStyle w:val="NormalWeb"/>
        <w:numPr>
          <w:ilvl w:val="0"/>
          <w:numId w:val="1"/>
        </w:numPr>
      </w:pPr>
      <w:r>
        <w:lastRenderedPageBreak/>
        <w:t>The following issues require specific clarification:</w:t>
      </w:r>
    </w:p>
    <w:p w14:paraId="0F9E8F04" w14:textId="77777777" w:rsidR="00C1402B" w:rsidRDefault="00C1402B" w:rsidP="00C1402B">
      <w:pPr>
        <w:pStyle w:val="NormalWeb"/>
        <w:ind w:left="720"/>
      </w:pPr>
      <w:r>
        <w:t>(a) Whether, for all contractual purposes under the EPC Agreement, MoRTH shall be treated as the sole “Authority” and BRO shall function exclusively as the executing agency on behalf of the Authority.</w:t>
      </w:r>
    </w:p>
    <w:p w14:paraId="50E148D8" w14:textId="77777777" w:rsidR="00C1402B" w:rsidRDefault="00C1402B" w:rsidP="00C1402B">
      <w:pPr>
        <w:pStyle w:val="NormalWeb"/>
        <w:ind w:left="720"/>
      </w:pPr>
      <w:r>
        <w:t xml:space="preserve">(b) The precise reporting and communication hierarchy between the Authority's Engineer, Regional Office MoRTH, Project </w:t>
      </w:r>
      <w:proofErr w:type="spellStart"/>
      <w:r>
        <w:t>Arunank</w:t>
      </w:r>
      <w:proofErr w:type="spellEnd"/>
      <w:r>
        <w:t xml:space="preserve"> and HQ DGBR.</w:t>
      </w:r>
    </w:p>
    <w:p w14:paraId="6DB46FBE" w14:textId="77777777" w:rsidR="00C1402B" w:rsidRDefault="00C1402B" w:rsidP="00C1402B">
      <w:pPr>
        <w:pStyle w:val="NormalWeb"/>
        <w:ind w:left="720"/>
      </w:pPr>
      <w:r>
        <w:t>(c) Whether instructions issued by the Authority's Engineer requiring approval of the Authority shall be processed directly through MoRTH or routed through BRO for examination and recommendations.</w:t>
      </w:r>
    </w:p>
    <w:p w14:paraId="3E2FADBB" w14:textId="77777777" w:rsidR="00C1402B" w:rsidRDefault="00C1402B" w:rsidP="00C1402B">
      <w:pPr>
        <w:pStyle w:val="NormalWeb"/>
        <w:ind w:left="720"/>
      </w:pPr>
      <w:r>
        <w:t>(d) The authority competent to approve:</w:t>
      </w:r>
      <w:r>
        <w:br/>
        <w:t>(</w:t>
      </w:r>
      <w:proofErr w:type="spellStart"/>
      <w:r>
        <w:t>i</w:t>
      </w:r>
      <w:proofErr w:type="spellEnd"/>
      <w:r>
        <w:t>) Design and drawings.</w:t>
      </w:r>
      <w:r>
        <w:br/>
        <w:t>(ii) General Arrangement Drawings.</w:t>
      </w:r>
      <w:r>
        <w:br/>
        <w:t>(iii) Change of Scope proposals.</w:t>
      </w:r>
      <w:r>
        <w:br/>
        <w:t>(iv) Extension of Time cases.</w:t>
      </w:r>
      <w:r>
        <w:br/>
        <w:t>(v) Milestone revisions.</w:t>
      </w:r>
      <w:r>
        <w:br/>
        <w:t>(vi) Completion Certificates.</w:t>
      </w:r>
      <w:r>
        <w:br/>
        <w:t>(vii) Taking Over Certificates.</w:t>
      </w:r>
      <w:r>
        <w:br/>
        <w:t>(viii) Contractor claims and contractual determinations.</w:t>
      </w:r>
    </w:p>
    <w:p w14:paraId="4628B361" w14:textId="77777777" w:rsidR="00C1402B" w:rsidRDefault="00C1402B" w:rsidP="00C1402B">
      <w:pPr>
        <w:pStyle w:val="NormalWeb"/>
        <w:ind w:left="720"/>
      </w:pPr>
      <w:r>
        <w:t>(e) The role of BRO authorities in scrutiny and endorsement of recommendations made by the Authority's Engineer before submission to MoRTH.</w:t>
      </w:r>
    </w:p>
    <w:p w14:paraId="22765EEA" w14:textId="77777777" w:rsidR="00C1402B" w:rsidRDefault="00C1402B" w:rsidP="00C1402B">
      <w:pPr>
        <w:pStyle w:val="NormalWeb"/>
        <w:ind w:left="720"/>
      </w:pPr>
      <w:r>
        <w:t>(f) The procedure to be adopted for processing Interim Payment Certificates, Stage Payment Statements, Final Payment Certificates and release of payments, particularly where observations of BRO and the Authority's Engineer may differ.</w:t>
      </w:r>
    </w:p>
    <w:p w14:paraId="32240635" w14:textId="77777777" w:rsidR="00C1402B" w:rsidRDefault="00C1402B" w:rsidP="00C1402B">
      <w:pPr>
        <w:pStyle w:val="NormalWeb"/>
        <w:ind w:left="720"/>
      </w:pPr>
      <w:r>
        <w:t>(g) The mechanism for dispute resolution relating to technical determinations, quality issues, measurements, delays and contractual interpretations where multiple stakeholders are involved.</w:t>
      </w:r>
    </w:p>
    <w:p w14:paraId="2B0EF8DF" w14:textId="77777777" w:rsidR="00C1402B" w:rsidRDefault="00C1402B" w:rsidP="00C1402B">
      <w:pPr>
        <w:pStyle w:val="NormalWeb"/>
        <w:ind w:left="720"/>
      </w:pPr>
      <w:r>
        <w:t>(h) The extent to which BRO authorities are empowered to issue directions to the Authority's Engineer in matters concerning quality control, progress monitoring, safety, environmental compliance and contractual performance.</w:t>
      </w:r>
    </w:p>
    <w:p w14:paraId="786E3FC7" w14:textId="77777777" w:rsidR="00C1402B" w:rsidRDefault="00C1402B" w:rsidP="00C1402B">
      <w:pPr>
        <w:pStyle w:val="NormalWeb"/>
        <w:ind w:left="720"/>
      </w:pPr>
      <w:r>
        <w:t>(j) The procedure to be followed where recommendations of the Authority's Engineer have financial, contractual or time-extension implications requiring approval of the Authority.</w:t>
      </w:r>
    </w:p>
    <w:p w14:paraId="38919B0C" w14:textId="77777777" w:rsidR="00C1402B" w:rsidRDefault="00C1402B" w:rsidP="00C1402B">
      <w:pPr>
        <w:pStyle w:val="NormalWeb"/>
        <w:numPr>
          <w:ilvl w:val="0"/>
          <w:numId w:val="1"/>
        </w:numPr>
      </w:pPr>
      <w:r>
        <w:t>It is submitted that while the EPC Agreement clearly defines the independent role of the Authority's Engineer, the present arrangement involving MoRTH as funding authority, BRO as implementing agency and a separately appointed Authority's Engineer introduces a distinct contract-management structure. Accordingly, issuance of comprehensive directions defining the roles, responsibilities, powers and accountability framework of all stakeholders would facilitate smooth administration of the contract and ensure uniform interpretation of EPC provisions throughout the execution period.</w:t>
      </w:r>
    </w:p>
    <w:p w14:paraId="44F5E876" w14:textId="77777777" w:rsidR="00C1402B" w:rsidRDefault="00C1402B" w:rsidP="00C1402B">
      <w:pPr>
        <w:pStyle w:val="NormalWeb"/>
        <w:numPr>
          <w:ilvl w:val="0"/>
          <w:numId w:val="1"/>
        </w:numPr>
      </w:pPr>
      <w:r>
        <w:lastRenderedPageBreak/>
        <w:t>It is therefore requested that suitable policy directions/guidelines may kindly be issued by HQ DGBR in consultation with MoRTH so that a clearly defined framework is available for administration of MoRTH-funded EPC projects entrusted to BRO.</w:t>
      </w:r>
    </w:p>
    <w:p w14:paraId="28E3CD30" w14:textId="77777777" w:rsidR="00C1402B" w:rsidRDefault="00C1402B" w:rsidP="00C1402B">
      <w:pPr>
        <w:pStyle w:val="NormalWeb"/>
      </w:pPr>
      <w:r>
        <w:t>Yours faithfully,</w:t>
      </w:r>
    </w:p>
    <w:p w14:paraId="46436781" w14:textId="77777777" w:rsidR="00C1402B" w:rsidRDefault="00C1402B" w:rsidP="00C1402B">
      <w:pPr>
        <w:pStyle w:val="NormalWeb"/>
      </w:pPr>
      <w:r>
        <w:t>(______________)</w:t>
      </w:r>
      <w:r>
        <w:br/>
        <w:t>Chief Engineer</w:t>
      </w:r>
      <w:r>
        <w:br/>
        <w:t xml:space="preserve">Project </w:t>
      </w:r>
      <w:proofErr w:type="spellStart"/>
      <w:r>
        <w:t>Arunank</w:t>
      </w:r>
      <w:proofErr w:type="spellEnd"/>
    </w:p>
    <w:p w14:paraId="0B1DDC20" w14:textId="77777777" w:rsidR="001F7953" w:rsidRDefault="001F7953"/>
    <w:sectPr w:rsidR="001F79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74FAC"/>
    <w:multiLevelType w:val="multilevel"/>
    <w:tmpl w:val="87067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2360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02B"/>
    <w:rsid w:val="000307FC"/>
    <w:rsid w:val="001F7953"/>
    <w:rsid w:val="009572BA"/>
    <w:rsid w:val="00C1402B"/>
    <w:rsid w:val="00CD01A4"/>
    <w:rsid w:val="00F956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B346177"/>
  <w15:chartTrackingRefBased/>
  <w15:docId w15:val="{2D961B50-BBDC-2543-B08A-015F5EDED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0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40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40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40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0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0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40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40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40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0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02B"/>
    <w:rPr>
      <w:rFonts w:eastAsiaTheme="majorEastAsia" w:cstheme="majorBidi"/>
      <w:color w:val="272727" w:themeColor="text1" w:themeTint="D8"/>
    </w:rPr>
  </w:style>
  <w:style w:type="paragraph" w:styleId="Title">
    <w:name w:val="Title"/>
    <w:basedOn w:val="Normal"/>
    <w:next w:val="Normal"/>
    <w:link w:val="TitleChar"/>
    <w:uiPriority w:val="10"/>
    <w:qFormat/>
    <w:rsid w:val="00C14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02B"/>
    <w:pPr>
      <w:spacing w:before="160"/>
      <w:jc w:val="center"/>
    </w:pPr>
    <w:rPr>
      <w:i/>
      <w:iCs/>
      <w:color w:val="404040" w:themeColor="text1" w:themeTint="BF"/>
    </w:rPr>
  </w:style>
  <w:style w:type="character" w:customStyle="1" w:styleId="QuoteChar">
    <w:name w:val="Quote Char"/>
    <w:basedOn w:val="DefaultParagraphFont"/>
    <w:link w:val="Quote"/>
    <w:uiPriority w:val="29"/>
    <w:rsid w:val="00C1402B"/>
    <w:rPr>
      <w:i/>
      <w:iCs/>
      <w:color w:val="404040" w:themeColor="text1" w:themeTint="BF"/>
    </w:rPr>
  </w:style>
  <w:style w:type="paragraph" w:styleId="ListParagraph">
    <w:name w:val="List Paragraph"/>
    <w:basedOn w:val="Normal"/>
    <w:uiPriority w:val="34"/>
    <w:qFormat/>
    <w:rsid w:val="00C1402B"/>
    <w:pPr>
      <w:ind w:left="720"/>
      <w:contextualSpacing/>
    </w:pPr>
  </w:style>
  <w:style w:type="character" w:styleId="IntenseEmphasis">
    <w:name w:val="Intense Emphasis"/>
    <w:basedOn w:val="DefaultParagraphFont"/>
    <w:uiPriority w:val="21"/>
    <w:qFormat/>
    <w:rsid w:val="00C1402B"/>
    <w:rPr>
      <w:i/>
      <w:iCs/>
      <w:color w:val="0F4761" w:themeColor="accent1" w:themeShade="BF"/>
    </w:rPr>
  </w:style>
  <w:style w:type="paragraph" w:styleId="IntenseQuote">
    <w:name w:val="Intense Quote"/>
    <w:basedOn w:val="Normal"/>
    <w:next w:val="Normal"/>
    <w:link w:val="IntenseQuoteChar"/>
    <w:uiPriority w:val="30"/>
    <w:qFormat/>
    <w:rsid w:val="00C140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02B"/>
    <w:rPr>
      <w:i/>
      <w:iCs/>
      <w:color w:val="0F4761" w:themeColor="accent1" w:themeShade="BF"/>
    </w:rPr>
  </w:style>
  <w:style w:type="character" w:styleId="IntenseReference">
    <w:name w:val="Intense Reference"/>
    <w:basedOn w:val="DefaultParagraphFont"/>
    <w:uiPriority w:val="32"/>
    <w:qFormat/>
    <w:rsid w:val="00C1402B"/>
    <w:rPr>
      <w:b/>
      <w:bCs/>
      <w:smallCaps/>
      <w:color w:val="0F4761" w:themeColor="accent1" w:themeShade="BF"/>
      <w:spacing w:val="5"/>
    </w:rPr>
  </w:style>
  <w:style w:type="paragraph" w:styleId="NormalWeb">
    <w:name w:val="Normal (Web)"/>
    <w:basedOn w:val="Normal"/>
    <w:uiPriority w:val="99"/>
    <w:semiHidden/>
    <w:unhideWhenUsed/>
    <w:rsid w:val="00C1402B"/>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761</Words>
  <Characters>4344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Iesha Dogra</dc:creator>
  <cp:keywords/>
  <dc:description/>
  <cp:lastModifiedBy>Iesha Dogra</cp:lastModifiedBy>
  <cp:revision>1</cp:revision>
  <dcterms:created xsi:type="dcterms:W3CDTF">2026-06-10T17:58:00Z</dcterms:created>
  <dcterms:modified xsi:type="dcterms:W3CDTF">2026-06-10T18:15:00Z</dcterms:modified>
</cp:coreProperties>
</file>