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Project Design Phase</w:t>
      </w:r>
    </w:p>
    <w:p>
      <w:pPr>
        <w:spacing w:after="160"/>
      </w:pPr>
      <w:r>
        <w:rPr>
          <w:b/>
          <w:sz w:val="28"/>
        </w:rPr>
        <w:t>Solution Architecture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514"/>
        <w:gridCol w:w="4514"/>
      </w:tblGrid>
      <w:tr>
        <w:tc>
          <w:tcPr>
            <w:tcW w:type="dxa" w:w="2448"/>
            <w:shd w:val="clear" w:color="auto" w:fill="DCE6F2"/>
          </w:tcPr>
          <w:p>
            <w:pPr>
              <w:spacing w:after="20"/>
            </w:pPr>
            <w:r>
              <w:rPr>
                <w:b/>
                <w:i w:val="0"/>
                <w:sz w:val="21"/>
              </w:rPr>
              <w:t>Date</w:t>
            </w:r>
          </w:p>
        </w:tc>
        <w:tc>
          <w:tcPr>
            <w:tcW w:type="dxa" w:w="6581"/>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6581"/>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6581"/>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6581"/>
          </w:tcPr>
          <w:p>
            <w:pPr>
              <w:spacing w:after="20"/>
            </w:pPr>
            <w:r>
              <w:rPr>
                <w:b w:val="0"/>
                <w:i w:val="0"/>
                <w:sz w:val="21"/>
              </w:rPr>
              <w:t>4 Marks</w:t>
            </w:r>
          </w:p>
        </w:tc>
      </w:tr>
      <w:tr>
        <w:tc>
          <w:tcPr>
            <w:tcW w:type="dxa" w:w="2448"/>
            <w:shd w:val="clear" w:color="auto" w:fill="DCE6F2"/>
          </w:tcPr>
          <w:p>
            <w:pPr>
              <w:spacing w:after="20"/>
            </w:pPr>
            <w:r>
              <w:rPr>
                <w:b/>
                <w:i w:val="0"/>
                <w:sz w:val="21"/>
              </w:rPr>
              <w:t>Document Status</w:t>
            </w:r>
          </w:p>
        </w:tc>
        <w:tc>
          <w:tcPr>
            <w:tcW w:type="dxa" w:w="6581"/>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Solution Architecture</w:t>
      </w:r>
    </w:p>
    <w:p>
      <w:r>
        <w:rPr>
          <w:b w:val="0"/>
          <w:i w:val="0"/>
        </w:rPr>
        <w:t xml:space="preserve">The solution architecture for </w:t>
      </w:r>
      <w:r>
        <w:rPr>
          <w:b/>
          <w:i w:val="0"/>
        </w:rPr>
        <w:t>HotelPro</w:t>
      </w:r>
      <w:r>
        <w:rPr>
          <w:b w:val="0"/>
          <w:i w:val="0"/>
        </w:rPr>
        <w:t xml:space="preserve"> is planned to be robust, secure, user-friendly and scalable. It connects guests with available rooms, supports the hotel’s daily operations and gives managers and administrators the data and controls they need. The architecture focuses on responsive design, secure transactions, role-based access and reliable booking workflows.</w:t>
      </w:r>
    </w:p>
    <w:p>
      <w:pPr>
        <w:pStyle w:val="ListBullet"/>
      </w:pPr>
      <w:r>
        <w:rPr>
          <w:b w:val="0"/>
          <w:i w:val="0"/>
        </w:rPr>
        <w:t>Seamless room search, booking and payment</w:t>
      </w:r>
    </w:p>
    <w:p>
      <w:pPr>
        <w:pStyle w:val="ListBullet"/>
      </w:pPr>
      <w:r>
        <w:rPr>
          <w:b w:val="0"/>
          <w:i w:val="0"/>
        </w:rPr>
        <w:t>End-to-end stay lifecycle management (reservation → check-in → services → check-out → review)</w:t>
      </w:r>
    </w:p>
    <w:p>
      <w:pPr>
        <w:pStyle w:val="ListBullet"/>
      </w:pPr>
      <w:r>
        <w:rPr>
          <w:b w:val="0"/>
          <w:i w:val="0"/>
        </w:rPr>
        <w:t>Scalable authentication and authorisation using JWT and roles</w:t>
      </w:r>
    </w:p>
    <w:p>
      <w:pPr>
        <w:pStyle w:val="ListBullet"/>
      </w:pPr>
      <w:r>
        <w:rPr>
          <w:b w:val="0"/>
          <w:i w:val="0"/>
        </w:rPr>
        <w:t>Secure and trackable payment transactions</w:t>
      </w:r>
    </w:p>
    <w:p>
      <w:pPr>
        <w:pStyle w:val="ListBullet"/>
      </w:pPr>
      <w:r>
        <w:rPr>
          <w:b w:val="0"/>
          <w:i w:val="0"/>
        </w:rPr>
        <w:t>Reliable notifications and auditable administrative actions</w:t>
      </w:r>
    </w:p>
    <w:p>
      <w:pPr>
        <w:pStyle w:val="Heading1"/>
      </w:pPr>
      <w:r>
        <w:t>2. Solution Architecture Diagram</w:t>
      </w:r>
    </w:p>
    <w:p>
      <w:pPr>
        <w:keepNext/>
        <w:jc w:val="center"/>
      </w:pPr>
      <w:r>
        <w:drawing>
          <wp:inline xmlns:a="http://schemas.openxmlformats.org/drawingml/2006/main" xmlns:pic="http://schemas.openxmlformats.org/drawingml/2006/picture">
            <wp:extent cx="5303520" cy="4334367"/>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303520" cy="4334367"/>
                    </a:xfrm>
                    <a:prstGeom prst="rect"/>
                  </pic:spPr>
                </pic:pic>
              </a:graphicData>
            </a:graphic>
          </wp:inline>
        </w:drawing>
      </w:r>
    </w:p>
    <w:p>
      <w:pPr>
        <w:jc w:val="center"/>
      </w:pPr>
      <w:r>
        <w:rPr>
          <w:b/>
          <w:i/>
          <w:sz w:val="20"/>
        </w:rPr>
        <w:t>Figure 1: HotelPro solution architecture</w:t>
      </w:r>
    </w:p>
    <w:p>
      <w:pPr>
        <w:pStyle w:val="Heading1"/>
      </w:pPr>
      <w:r>
        <w:t>3. Architecture Layers and Components</w:t>
      </w:r>
    </w:p>
    <w:p>
      <w:pPr>
        <w:keepNext/>
        <w:spacing w:after="60"/>
      </w:pPr>
      <w:r>
        <w:rPr>
          <w:b/>
          <w:i/>
          <w:color w:val="404040"/>
          <w:sz w:val="20"/>
        </w:rPr>
        <w:t>Table 1: Layers and components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57"/>
        <w:gridCol w:w="2257"/>
        <w:gridCol w:w="2257"/>
        <w:gridCol w:w="2257"/>
      </w:tblGrid>
      <w:tr>
        <w:trPr>
          <w:tblHeader w:val="true"/>
        </w:trPr>
        <w:tc>
          <w:tcPr>
            <w:tcW w:type="dxa" w:w="1195"/>
            <w:shd w:val="clear" w:color="auto" w:fill="1F3864"/>
          </w:tcPr>
          <w:p>
            <w:pPr>
              <w:spacing w:after="20"/>
            </w:pPr>
            <w:r>
              <w:rPr>
                <w:b/>
                <w:color w:val="FFFFFF"/>
                <w:sz w:val="18"/>
              </w:rPr>
              <w:t>Layer</w:t>
            </w:r>
          </w:p>
        </w:tc>
        <w:tc>
          <w:tcPr>
            <w:tcW w:type="dxa" w:w="3054"/>
            <w:shd w:val="clear" w:color="auto" w:fill="1F3864"/>
          </w:tcPr>
          <w:p>
            <w:pPr>
              <w:spacing w:after="20"/>
            </w:pPr>
            <w:r>
              <w:rPr>
                <w:b/>
                <w:color w:val="FFFFFF"/>
                <w:sz w:val="18"/>
              </w:rPr>
              <w:t>Component</w:t>
            </w:r>
          </w:p>
        </w:tc>
        <w:tc>
          <w:tcPr>
            <w:tcW w:type="dxa" w:w="3452"/>
            <w:shd w:val="clear" w:color="auto" w:fill="1F3864"/>
          </w:tcPr>
          <w:p>
            <w:pPr>
              <w:spacing w:after="20"/>
            </w:pPr>
            <w:r>
              <w:rPr>
                <w:b/>
                <w:color w:val="FFFFFF"/>
                <w:sz w:val="18"/>
              </w:rPr>
              <w:t>Responsibility</w:t>
            </w:r>
          </w:p>
        </w:tc>
        <w:tc>
          <w:tcPr>
            <w:tcW w:type="dxa" w:w="1328"/>
            <w:shd w:val="clear" w:color="auto" w:fill="1F3864"/>
          </w:tcPr>
          <w:p>
            <w:pPr>
              <w:spacing w:after="20"/>
            </w:pPr>
            <w:r>
              <w:rPr>
                <w:b/>
                <w:color w:val="FFFFFF"/>
                <w:sz w:val="18"/>
              </w:rPr>
              <w:t>Status</w:t>
            </w:r>
          </w:p>
        </w:tc>
      </w:tr>
      <w:tr>
        <w:trPr>
          <w:cantSplit w:val="true"/>
        </w:trPr>
        <w:tc>
          <w:tcPr>
            <w:tcW w:type="dxa" w:w="1195"/>
          </w:tcPr>
          <w:p>
            <w:pPr>
              <w:spacing w:after="20"/>
            </w:pPr>
            <w:r>
              <w:rPr>
                <w:b w:val="0"/>
                <w:i w:val="0"/>
                <w:sz w:val="18"/>
              </w:rPr>
              <w:t>Client</w:t>
            </w:r>
          </w:p>
        </w:tc>
        <w:tc>
          <w:tcPr>
            <w:tcW w:type="dxa" w:w="3054"/>
          </w:tcPr>
          <w:p>
            <w:pPr>
              <w:spacing w:after="20"/>
            </w:pPr>
            <w:r>
              <w:rPr>
                <w:b w:val="0"/>
                <w:i w:val="0"/>
                <w:sz w:val="18"/>
              </w:rPr>
              <w:t>Browser (desktop, tablet, mobile)</w:t>
            </w:r>
          </w:p>
        </w:tc>
        <w:tc>
          <w:tcPr>
            <w:tcW w:type="dxa" w:w="3452"/>
          </w:tcPr>
          <w:p>
            <w:pPr>
              <w:spacing w:after="20"/>
            </w:pPr>
            <w:r>
              <w:rPr>
                <w:b w:val="0"/>
                <w:i w:val="0"/>
                <w:sz w:val="18"/>
              </w:rPr>
              <w:t>Runs the React SPA; role-specific dashboards</w:t>
            </w:r>
          </w:p>
        </w:tc>
        <w:tc>
          <w:tcPr>
            <w:tcW w:type="dxa" w:w="1328"/>
          </w:tcPr>
          <w:p>
            <w:pPr>
              <w:spacing w:after="20"/>
            </w:pPr>
            <w:r>
              <w:rPr>
                <w:b w:val="0"/>
                <w:i w:val="0"/>
                <w:sz w:val="18"/>
              </w:rPr>
              <w:t>Planned</w:t>
            </w:r>
          </w:p>
        </w:tc>
      </w:tr>
      <w:tr>
        <w:trPr>
          <w:cantSplit w:val="true"/>
        </w:trPr>
        <w:tc>
          <w:tcPr>
            <w:tcW w:type="dxa" w:w="1195"/>
            <w:shd w:val="clear" w:color="auto" w:fill="F2F6FB"/>
          </w:tcPr>
          <w:p>
            <w:pPr>
              <w:spacing w:after="20"/>
            </w:pPr>
            <w:r>
              <w:rPr>
                <w:b w:val="0"/>
                <w:i w:val="0"/>
                <w:sz w:val="18"/>
              </w:rPr>
              <w:t>Presentation</w:t>
            </w:r>
          </w:p>
        </w:tc>
        <w:tc>
          <w:tcPr>
            <w:tcW w:type="dxa" w:w="3054"/>
            <w:shd w:val="clear" w:color="auto" w:fill="F2F6FB"/>
          </w:tcPr>
          <w:p>
            <w:pPr>
              <w:spacing w:after="20"/>
            </w:pPr>
            <w:r>
              <w:rPr>
                <w:b w:val="0"/>
                <w:i w:val="0"/>
                <w:sz w:val="18"/>
              </w:rPr>
              <w:t>React Router, Axios, Bootstrap/MUI, React Toastify, Chart.js/Recharts</w:t>
            </w:r>
          </w:p>
        </w:tc>
        <w:tc>
          <w:tcPr>
            <w:tcW w:type="dxa" w:w="3452"/>
            <w:shd w:val="clear" w:color="auto" w:fill="F2F6FB"/>
          </w:tcPr>
          <w:p>
            <w:pPr>
              <w:spacing w:after="20"/>
            </w:pPr>
            <w:r>
              <w:rPr>
                <w:b w:val="0"/>
                <w:i w:val="0"/>
                <w:sz w:val="18"/>
              </w:rPr>
              <w:t>Routing, protected routes, API calls with JWT, UI, notifications, charts</w:t>
            </w:r>
          </w:p>
        </w:tc>
        <w:tc>
          <w:tcPr>
            <w:tcW w:type="dxa" w:w="1328"/>
            <w:shd w:val="clear" w:color="auto" w:fill="F2F6FB"/>
          </w:tcPr>
          <w:p>
            <w:pPr>
              <w:spacing w:after="20"/>
            </w:pPr>
            <w:r>
              <w:rPr>
                <w:b w:val="0"/>
                <w:i w:val="0"/>
                <w:sz w:val="18"/>
              </w:rPr>
              <w:t>Planned</w:t>
            </w:r>
          </w:p>
        </w:tc>
      </w:tr>
      <w:tr>
        <w:trPr>
          <w:cantSplit w:val="true"/>
        </w:trPr>
        <w:tc>
          <w:tcPr>
            <w:tcW w:type="dxa" w:w="1195"/>
          </w:tcPr>
          <w:p>
            <w:pPr>
              <w:spacing w:after="20"/>
            </w:pPr>
            <w:r>
              <w:rPr>
                <w:b w:val="0"/>
                <w:i w:val="0"/>
                <w:sz w:val="18"/>
              </w:rPr>
              <w:t>Application</w:t>
            </w:r>
          </w:p>
        </w:tc>
        <w:tc>
          <w:tcPr>
            <w:tcW w:type="dxa" w:w="3054"/>
          </w:tcPr>
          <w:p>
            <w:pPr>
              <w:spacing w:after="20"/>
            </w:pPr>
            <w:r>
              <w:rPr>
                <w:b w:val="0"/>
                <w:i w:val="0"/>
                <w:sz w:val="18"/>
              </w:rPr>
              <w:t>Express middleware (CORS, security headers, auth, validation)</w:t>
            </w:r>
          </w:p>
        </w:tc>
        <w:tc>
          <w:tcPr>
            <w:tcW w:type="dxa" w:w="3452"/>
          </w:tcPr>
          <w:p>
            <w:pPr>
              <w:spacing w:after="20"/>
            </w:pPr>
            <w:r>
              <w:rPr>
                <w:b w:val="0"/>
                <w:i w:val="0"/>
                <w:sz w:val="18"/>
              </w:rPr>
              <w:t>Cross-cutting request handling</w:t>
            </w:r>
          </w:p>
        </w:tc>
        <w:tc>
          <w:tcPr>
            <w:tcW w:type="dxa" w:w="1328"/>
          </w:tcPr>
          <w:p>
            <w:pPr>
              <w:spacing w:after="20"/>
            </w:pPr>
            <w:r>
              <w:rPr>
                <w:b w:val="0"/>
                <w:i w:val="0"/>
                <w:sz w:val="18"/>
              </w:rPr>
              <w:t>Planned</w:t>
            </w:r>
          </w:p>
        </w:tc>
      </w:tr>
      <w:tr>
        <w:trPr>
          <w:cantSplit w:val="true"/>
        </w:trPr>
        <w:tc>
          <w:tcPr>
            <w:tcW w:type="dxa" w:w="1195"/>
            <w:shd w:val="clear" w:color="auto" w:fill="F2F6FB"/>
          </w:tcPr>
          <w:p>
            <w:pPr>
              <w:spacing w:after="20"/>
            </w:pPr>
            <w:r>
              <w:rPr>
                <w:b w:val="0"/>
                <w:i w:val="0"/>
                <w:sz w:val="18"/>
              </w:rPr>
              <w:t>Application</w:t>
            </w:r>
          </w:p>
        </w:tc>
        <w:tc>
          <w:tcPr>
            <w:tcW w:type="dxa" w:w="3054"/>
            <w:shd w:val="clear" w:color="auto" w:fill="F2F6FB"/>
          </w:tcPr>
          <w:p>
            <w:pPr>
              <w:spacing w:after="20"/>
            </w:pPr>
            <w:r>
              <w:rPr>
                <w:b w:val="0"/>
                <w:i w:val="0"/>
                <w:sz w:val="18"/>
              </w:rPr>
              <w:t>Routes → Controllers → Services</w:t>
            </w:r>
          </w:p>
        </w:tc>
        <w:tc>
          <w:tcPr>
            <w:tcW w:type="dxa" w:w="3452"/>
            <w:shd w:val="clear" w:color="auto" w:fill="F2F6FB"/>
          </w:tcPr>
          <w:p>
            <w:pPr>
              <w:spacing w:after="20"/>
            </w:pPr>
            <w:r>
              <w:rPr>
                <w:b w:val="0"/>
                <w:i w:val="0"/>
                <w:sz w:val="18"/>
              </w:rPr>
              <w:t>Business rules: availability, pricing, booking state, payments, check-in/out</w:t>
            </w:r>
          </w:p>
        </w:tc>
        <w:tc>
          <w:tcPr>
            <w:tcW w:type="dxa" w:w="1328"/>
            <w:shd w:val="clear" w:color="auto" w:fill="F2F6FB"/>
          </w:tcPr>
          <w:p>
            <w:pPr>
              <w:spacing w:after="20"/>
            </w:pPr>
            <w:r>
              <w:rPr>
                <w:b w:val="0"/>
                <w:i w:val="0"/>
                <w:sz w:val="18"/>
              </w:rPr>
              <w:t>Planned</w:t>
            </w:r>
          </w:p>
        </w:tc>
      </w:tr>
      <w:tr>
        <w:trPr>
          <w:cantSplit w:val="true"/>
        </w:trPr>
        <w:tc>
          <w:tcPr>
            <w:tcW w:type="dxa" w:w="1195"/>
          </w:tcPr>
          <w:p>
            <w:pPr>
              <w:spacing w:after="20"/>
            </w:pPr>
            <w:r>
              <w:rPr>
                <w:b w:val="0"/>
                <w:i w:val="0"/>
                <w:sz w:val="18"/>
              </w:rPr>
              <w:t>Application</w:t>
            </w:r>
          </w:p>
        </w:tc>
        <w:tc>
          <w:tcPr>
            <w:tcW w:type="dxa" w:w="3054"/>
          </w:tcPr>
          <w:p>
            <w:pPr>
              <w:spacing w:after="20"/>
            </w:pPr>
            <w:r>
              <w:rPr>
                <w:b w:val="0"/>
                <w:i w:val="0"/>
                <w:sz w:val="18"/>
              </w:rPr>
              <w:t>Multer, Nodemailer, Payment service, Audit log service</w:t>
            </w:r>
          </w:p>
        </w:tc>
        <w:tc>
          <w:tcPr>
            <w:tcW w:type="dxa" w:w="3452"/>
          </w:tcPr>
          <w:p>
            <w:pPr>
              <w:spacing w:after="20"/>
            </w:pPr>
            <w:r>
              <w:rPr>
                <w:b w:val="0"/>
                <w:i w:val="0"/>
                <w:sz w:val="18"/>
              </w:rPr>
              <w:t>Uploads, email, gateway integration, logging</w:t>
            </w:r>
          </w:p>
        </w:tc>
        <w:tc>
          <w:tcPr>
            <w:tcW w:type="dxa" w:w="1328"/>
          </w:tcPr>
          <w:p>
            <w:pPr>
              <w:spacing w:after="20"/>
            </w:pPr>
            <w:r>
              <w:rPr>
                <w:b w:val="0"/>
                <w:i w:val="0"/>
                <w:sz w:val="18"/>
              </w:rPr>
              <w:t>Planned</w:t>
            </w:r>
          </w:p>
        </w:tc>
      </w:tr>
      <w:tr>
        <w:trPr>
          <w:cantSplit w:val="true"/>
        </w:trPr>
        <w:tc>
          <w:tcPr>
            <w:tcW w:type="dxa" w:w="1195"/>
            <w:shd w:val="clear" w:color="auto" w:fill="F2F6FB"/>
          </w:tcPr>
          <w:p>
            <w:pPr>
              <w:spacing w:after="20"/>
            </w:pPr>
            <w:r>
              <w:rPr>
                <w:b w:val="0"/>
                <w:i w:val="0"/>
                <w:sz w:val="18"/>
              </w:rPr>
              <w:t>Data</w:t>
            </w:r>
          </w:p>
        </w:tc>
        <w:tc>
          <w:tcPr>
            <w:tcW w:type="dxa" w:w="3054"/>
            <w:shd w:val="clear" w:color="auto" w:fill="F2F6FB"/>
          </w:tcPr>
          <w:p>
            <w:pPr>
              <w:spacing w:after="20"/>
            </w:pPr>
            <w:r>
              <w:rPr>
                <w:b w:val="0"/>
                <w:i w:val="0"/>
                <w:sz w:val="18"/>
              </w:rPr>
              <w:t>MongoDB via Mongoose</w:t>
            </w:r>
          </w:p>
        </w:tc>
        <w:tc>
          <w:tcPr>
            <w:tcW w:type="dxa" w:w="3452"/>
            <w:shd w:val="clear" w:color="auto" w:fill="F2F6FB"/>
          </w:tcPr>
          <w:p>
            <w:pPr>
              <w:spacing w:after="20"/>
            </w:pPr>
            <w:r>
              <w:rPr>
                <w:b w:val="0"/>
                <w:i w:val="0"/>
                <w:sz w:val="18"/>
              </w:rPr>
              <w:t>Persistent storage with schema validation and indexes</w:t>
            </w:r>
          </w:p>
        </w:tc>
        <w:tc>
          <w:tcPr>
            <w:tcW w:type="dxa" w:w="1328"/>
            <w:shd w:val="clear" w:color="auto" w:fill="F2F6FB"/>
          </w:tcPr>
          <w:p>
            <w:pPr>
              <w:spacing w:after="20"/>
            </w:pPr>
            <w:r>
              <w:rPr>
                <w:b w:val="0"/>
                <w:i w:val="0"/>
                <w:sz w:val="18"/>
              </w:rPr>
              <w:t>Planned</w:t>
            </w:r>
          </w:p>
        </w:tc>
      </w:tr>
      <w:tr>
        <w:trPr>
          <w:cantSplit w:val="true"/>
        </w:trPr>
        <w:tc>
          <w:tcPr>
            <w:tcW w:type="dxa" w:w="1195"/>
          </w:tcPr>
          <w:p>
            <w:pPr>
              <w:spacing w:after="20"/>
            </w:pPr>
            <w:r>
              <w:rPr>
                <w:b w:val="0"/>
                <w:i w:val="0"/>
                <w:sz w:val="18"/>
              </w:rPr>
              <w:t>External</w:t>
            </w:r>
          </w:p>
        </w:tc>
        <w:tc>
          <w:tcPr>
            <w:tcW w:type="dxa" w:w="3054"/>
          </w:tcPr>
          <w:p>
            <w:pPr>
              <w:spacing w:after="20"/>
            </w:pPr>
            <w:r>
              <w:rPr>
                <w:b w:val="0"/>
                <w:i w:val="0"/>
                <w:sz w:val="18"/>
              </w:rPr>
              <w:t>Stripe or Razorpay; SMTP provider</w:t>
            </w:r>
          </w:p>
        </w:tc>
        <w:tc>
          <w:tcPr>
            <w:tcW w:type="dxa" w:w="3452"/>
          </w:tcPr>
          <w:p>
            <w:pPr>
              <w:spacing w:after="20"/>
            </w:pPr>
            <w:r>
              <w:rPr>
                <w:b w:val="0"/>
                <w:i w:val="0"/>
                <w:sz w:val="18"/>
              </w:rPr>
              <w:t>Payments/refunds; email delivery</w:t>
            </w:r>
          </w:p>
        </w:tc>
        <w:tc>
          <w:tcPr>
            <w:tcW w:type="dxa" w:w="1328"/>
          </w:tcPr>
          <w:p>
            <w:pPr>
              <w:spacing w:after="20"/>
            </w:pPr>
            <w:r>
              <w:rPr>
                <w:b w:val="0"/>
                <w:i w:val="0"/>
                <w:sz w:val="18"/>
              </w:rPr>
              <w:t>Planned (selection TBC)</w:t>
            </w:r>
          </w:p>
        </w:tc>
      </w:tr>
    </w:tbl>
    <w:p>
      <w:pPr>
        <w:spacing w:after="40"/>
      </w:pPr>
    </w:p>
    <w:p>
      <w:pPr>
        <w:pStyle w:val="Heading1"/>
      </w:pPr>
      <w:r>
        <w:t>4. Request Lifecycle</w:t>
      </w:r>
    </w:p>
    <w:p>
      <w:pPr>
        <w:pStyle w:val="ListNumber"/>
      </w:pPr>
      <w:r>
        <w:rPr>
          <w:b w:val="0"/>
          <w:i w:val="0"/>
        </w:rPr>
        <w:t>The user acts in the React UI; Axios sends an HTTPS request with the JWT in the Authorization header.</w:t>
      </w:r>
    </w:p>
    <w:p>
      <w:pPr>
        <w:pStyle w:val="ListNumber"/>
      </w:pPr>
      <w:r>
        <w:rPr>
          <w:b w:val="0"/>
          <w:i w:val="0"/>
        </w:rPr>
        <w:t>Express applies CORS and security middleware.</w:t>
      </w:r>
    </w:p>
    <w:p>
      <w:pPr>
        <w:pStyle w:val="ListNumber"/>
      </w:pPr>
      <w:r>
        <w:rPr>
          <w:b w:val="0"/>
          <w:i w:val="0"/>
        </w:rPr>
        <w:t>The authentication middleware verifies the JWT; the authorisation middleware checks the role.</w:t>
      </w:r>
    </w:p>
    <w:p>
      <w:pPr>
        <w:pStyle w:val="ListNumber"/>
      </w:pPr>
      <w:r>
        <w:rPr>
          <w:b w:val="0"/>
          <w:i w:val="0"/>
        </w:rPr>
        <w:t>The validation middleware validates body, params and query.</w:t>
      </w:r>
    </w:p>
    <w:p>
      <w:pPr>
        <w:pStyle w:val="ListNumber"/>
      </w:pPr>
      <w:r>
        <w:rPr>
          <w:b w:val="0"/>
          <w:i w:val="0"/>
        </w:rPr>
        <w:t>The controller calls a service that applies business rules and uses Mongoose models.</w:t>
      </w:r>
    </w:p>
    <w:p>
      <w:pPr>
        <w:pStyle w:val="ListNumber"/>
      </w:pPr>
      <w:r>
        <w:rPr>
          <w:b w:val="0"/>
          <w:i w:val="0"/>
        </w:rPr>
        <w:t>The response is returned as JSON with a consistent success/error format; important actions are written to the audit log.</w:t>
      </w:r>
    </w:p>
    <w:p>
      <w:pPr>
        <w:pStyle w:val="Heading1"/>
      </w:pPr>
      <w:r>
        <w:t>5. Key Flow – Booking and Payment</w:t>
      </w:r>
    </w:p>
    <w:p>
      <w:pPr>
        <w:keepNext/>
        <w:jc w:val="center"/>
      </w:pPr>
      <w:r>
        <w:drawing>
          <wp:inline xmlns:a="http://schemas.openxmlformats.org/drawingml/2006/main" xmlns:pic="http://schemas.openxmlformats.org/drawingml/2006/picture">
            <wp:extent cx="4937760" cy="2916050"/>
            <wp:docPr id="2" name="Picture 2"/>
            <wp:cNvGraphicFramePr>
              <a:graphicFrameLocks noChangeAspect="1"/>
            </wp:cNvGraphicFramePr>
            <a:graphic>
              <a:graphicData uri="http://schemas.openxmlformats.org/drawingml/2006/picture">
                <pic:pic>
                  <pic:nvPicPr>
                    <pic:cNvPr id="0" name="seqbook.png"/>
                    <pic:cNvPicPr/>
                  </pic:nvPicPr>
                  <pic:blipFill>
                    <a:blip r:embed="rId11"/>
                    <a:stretch>
                      <a:fillRect/>
                    </a:stretch>
                  </pic:blipFill>
                  <pic:spPr>
                    <a:xfrm>
                      <a:off x="0" y="0"/>
                      <a:ext cx="4937760" cy="2916050"/>
                    </a:xfrm>
                    <a:prstGeom prst="rect"/>
                  </pic:spPr>
                </pic:pic>
              </a:graphicData>
            </a:graphic>
          </wp:inline>
        </w:drawing>
      </w:r>
    </w:p>
    <w:p>
      <w:pPr>
        <w:jc w:val="center"/>
      </w:pPr>
      <w:r>
        <w:rPr>
          <w:b/>
          <w:i/>
          <w:sz w:val="20"/>
        </w:rPr>
        <w:t>Figure 2: Booking and payment sequence</w:t>
      </w:r>
    </w:p>
    <w:p>
      <w:pPr>
        <w:pStyle w:val="Heading1"/>
      </w:pPr>
      <w:r>
        <w:t>6. Data Architecture Summary</w:t>
      </w:r>
    </w:p>
    <w:p>
      <w:r>
        <w:rPr>
          <w:b w:val="0"/>
          <w:i w:val="0"/>
        </w:rPr>
        <w:t>MongoDB collections are grouped as: identity (users, guests, staff), inventory (hotels, roomCategories, rooms, pricingRules), transactions (bookings, payments, checkInOuts), engagement (reviews, notifications, supportTickets), operations (services, serviceRequests, housekeepingTasks) and governance (reports, adminLogs). Full schemas, relationships and indexes are in the Database Design document.</w:t>
      </w:r>
    </w:p>
    <w:p>
      <w:pPr>
        <w:pStyle w:val="Heading1"/>
      </w:pPr>
      <w:r>
        <w:t>7. API Overview</w:t>
      </w:r>
    </w:p>
    <w:p>
      <w:pPr>
        <w:keepNext/>
        <w:spacing w:after="60"/>
      </w:pPr>
      <w:r>
        <w:rPr>
          <w:b/>
          <w:i/>
          <w:color w:val="404040"/>
          <w:sz w:val="20"/>
        </w:rPr>
        <w:t>Table 2: API groups (detailed endpoints: Module Design document)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010"/>
        <w:gridCol w:w="3010"/>
        <w:gridCol w:w="3010"/>
      </w:tblGrid>
      <w:tr>
        <w:trPr>
          <w:tblHeader w:val="true"/>
        </w:trPr>
        <w:tc>
          <w:tcPr>
            <w:tcW w:type="dxa" w:w="2390"/>
            <w:shd w:val="clear" w:color="auto" w:fill="1F3864"/>
          </w:tcPr>
          <w:p>
            <w:pPr>
              <w:spacing w:after="20"/>
            </w:pPr>
            <w:r>
              <w:rPr>
                <w:b/>
                <w:color w:val="FFFFFF"/>
                <w:sz w:val="19"/>
              </w:rPr>
              <w:t>Group</w:t>
            </w:r>
          </w:p>
        </w:tc>
        <w:tc>
          <w:tcPr>
            <w:tcW w:type="dxa" w:w="4249"/>
            <w:shd w:val="clear" w:color="auto" w:fill="1F3864"/>
          </w:tcPr>
          <w:p>
            <w:pPr>
              <w:spacing w:after="20"/>
            </w:pPr>
            <w:r>
              <w:rPr>
                <w:b/>
                <w:color w:val="FFFFFF"/>
                <w:sz w:val="19"/>
              </w:rPr>
              <w:t>Base Path</w:t>
            </w:r>
          </w:p>
        </w:tc>
        <w:tc>
          <w:tcPr>
            <w:tcW w:type="dxa" w:w="2390"/>
            <w:shd w:val="clear" w:color="auto" w:fill="1F3864"/>
          </w:tcPr>
          <w:p>
            <w:pPr>
              <w:spacing w:after="20"/>
            </w:pPr>
            <w:r>
              <w:rPr>
                <w:b/>
                <w:color w:val="FFFFFF"/>
                <w:sz w:val="19"/>
              </w:rPr>
              <w:t>Primary Consumers</w:t>
            </w:r>
          </w:p>
        </w:tc>
      </w:tr>
      <w:tr>
        <w:trPr>
          <w:cantSplit w:val="true"/>
        </w:trPr>
        <w:tc>
          <w:tcPr>
            <w:tcW w:type="dxa" w:w="2390"/>
          </w:tcPr>
          <w:p>
            <w:pPr>
              <w:spacing w:after="20"/>
            </w:pPr>
            <w:r>
              <w:rPr>
                <w:b w:val="0"/>
                <w:i w:val="0"/>
                <w:sz w:val="19"/>
              </w:rPr>
              <w:t>Authentication</w:t>
            </w:r>
          </w:p>
        </w:tc>
        <w:tc>
          <w:tcPr>
            <w:tcW w:type="dxa" w:w="4249"/>
          </w:tcPr>
          <w:p>
            <w:pPr>
              <w:spacing w:after="20"/>
            </w:pPr>
            <w:r>
              <w:rPr>
                <w:b w:val="0"/>
                <w:i w:val="0"/>
                <w:sz w:val="19"/>
              </w:rPr>
              <w:t>/api/auth</w:t>
            </w:r>
          </w:p>
        </w:tc>
        <w:tc>
          <w:tcPr>
            <w:tcW w:type="dxa" w:w="2390"/>
          </w:tcPr>
          <w:p>
            <w:pPr>
              <w:spacing w:after="20"/>
            </w:pPr>
            <w:r>
              <w:rPr>
                <w:b w:val="0"/>
                <w:i w:val="0"/>
                <w:sz w:val="19"/>
              </w:rPr>
              <w:t>All users</w:t>
            </w:r>
          </w:p>
        </w:tc>
      </w:tr>
      <w:tr>
        <w:trPr>
          <w:cantSplit w:val="true"/>
        </w:trPr>
        <w:tc>
          <w:tcPr>
            <w:tcW w:type="dxa" w:w="2390"/>
            <w:shd w:val="clear" w:color="auto" w:fill="F2F6FB"/>
          </w:tcPr>
          <w:p>
            <w:pPr>
              <w:spacing w:after="20"/>
            </w:pPr>
            <w:r>
              <w:rPr>
                <w:b w:val="0"/>
                <w:i w:val="0"/>
                <w:sz w:val="19"/>
              </w:rPr>
              <w:t>Rooms, categories, pricing</w:t>
            </w:r>
          </w:p>
        </w:tc>
        <w:tc>
          <w:tcPr>
            <w:tcW w:type="dxa" w:w="4249"/>
            <w:shd w:val="clear" w:color="auto" w:fill="F2F6FB"/>
          </w:tcPr>
          <w:p>
            <w:pPr>
              <w:spacing w:after="20"/>
            </w:pPr>
            <w:r>
              <w:rPr>
                <w:b w:val="0"/>
                <w:i w:val="0"/>
                <w:sz w:val="19"/>
              </w:rPr>
              <w:t>/api/rooms, /api/room-categories, /api/pricing-rules</w:t>
            </w:r>
          </w:p>
        </w:tc>
        <w:tc>
          <w:tcPr>
            <w:tcW w:type="dxa" w:w="2390"/>
            <w:shd w:val="clear" w:color="auto" w:fill="F2F6FB"/>
          </w:tcPr>
          <w:p>
            <w:pPr>
              <w:spacing w:after="20"/>
            </w:pPr>
            <w:r>
              <w:rPr>
                <w:b w:val="0"/>
                <w:i w:val="0"/>
                <w:sz w:val="19"/>
              </w:rPr>
              <w:t>Guest (read), Manager/Admin (write)</w:t>
            </w:r>
          </w:p>
        </w:tc>
      </w:tr>
      <w:tr>
        <w:trPr>
          <w:cantSplit w:val="true"/>
        </w:trPr>
        <w:tc>
          <w:tcPr>
            <w:tcW w:type="dxa" w:w="2390"/>
          </w:tcPr>
          <w:p>
            <w:pPr>
              <w:spacing w:after="20"/>
            </w:pPr>
            <w:r>
              <w:rPr>
                <w:b w:val="0"/>
                <w:i w:val="0"/>
                <w:sz w:val="19"/>
              </w:rPr>
              <w:t>Bookings</w:t>
            </w:r>
          </w:p>
        </w:tc>
        <w:tc>
          <w:tcPr>
            <w:tcW w:type="dxa" w:w="4249"/>
          </w:tcPr>
          <w:p>
            <w:pPr>
              <w:spacing w:after="20"/>
            </w:pPr>
            <w:r>
              <w:rPr>
                <w:b w:val="0"/>
                <w:i w:val="0"/>
                <w:sz w:val="19"/>
              </w:rPr>
              <w:t>/api/bookings</w:t>
            </w:r>
          </w:p>
        </w:tc>
        <w:tc>
          <w:tcPr>
            <w:tcW w:type="dxa" w:w="2390"/>
          </w:tcPr>
          <w:p>
            <w:pPr>
              <w:spacing w:after="20"/>
            </w:pPr>
            <w:r>
              <w:rPr>
                <w:b w:val="0"/>
                <w:i w:val="0"/>
                <w:sz w:val="19"/>
              </w:rPr>
              <w:t>Guest, Staff, Manager, Admin</w:t>
            </w:r>
          </w:p>
        </w:tc>
      </w:tr>
      <w:tr>
        <w:trPr>
          <w:cantSplit w:val="true"/>
        </w:trPr>
        <w:tc>
          <w:tcPr>
            <w:tcW w:type="dxa" w:w="2390"/>
            <w:shd w:val="clear" w:color="auto" w:fill="F2F6FB"/>
          </w:tcPr>
          <w:p>
            <w:pPr>
              <w:spacing w:after="20"/>
            </w:pPr>
            <w:r>
              <w:rPr>
                <w:b w:val="0"/>
                <w:i w:val="0"/>
                <w:sz w:val="19"/>
              </w:rPr>
              <w:t>Payments</w:t>
            </w:r>
          </w:p>
        </w:tc>
        <w:tc>
          <w:tcPr>
            <w:tcW w:type="dxa" w:w="4249"/>
            <w:shd w:val="clear" w:color="auto" w:fill="F2F6FB"/>
          </w:tcPr>
          <w:p>
            <w:pPr>
              <w:spacing w:after="20"/>
            </w:pPr>
            <w:r>
              <w:rPr>
                <w:b w:val="0"/>
                <w:i w:val="0"/>
                <w:sz w:val="19"/>
              </w:rPr>
              <w:t>/api/payments</w:t>
            </w:r>
          </w:p>
        </w:tc>
        <w:tc>
          <w:tcPr>
            <w:tcW w:type="dxa" w:w="2390"/>
            <w:shd w:val="clear" w:color="auto" w:fill="F2F6FB"/>
          </w:tcPr>
          <w:p>
            <w:pPr>
              <w:spacing w:after="20"/>
            </w:pPr>
            <w:r>
              <w:rPr>
                <w:b w:val="0"/>
                <w:i w:val="0"/>
                <w:sz w:val="19"/>
              </w:rPr>
              <w:t>Guest, Admin, Gateway (webhook)</w:t>
            </w:r>
          </w:p>
        </w:tc>
      </w:tr>
      <w:tr>
        <w:trPr>
          <w:cantSplit w:val="true"/>
        </w:trPr>
        <w:tc>
          <w:tcPr>
            <w:tcW w:type="dxa" w:w="2390"/>
          </w:tcPr>
          <w:p>
            <w:pPr>
              <w:spacing w:after="20"/>
            </w:pPr>
            <w:r>
              <w:rPr>
                <w:b w:val="0"/>
                <w:i w:val="0"/>
                <w:sz w:val="19"/>
              </w:rPr>
              <w:t>Stays (check-in/out)</w:t>
            </w:r>
          </w:p>
        </w:tc>
        <w:tc>
          <w:tcPr>
            <w:tcW w:type="dxa" w:w="4249"/>
          </w:tcPr>
          <w:p>
            <w:pPr>
              <w:spacing w:after="20"/>
            </w:pPr>
            <w:r>
              <w:rPr>
                <w:b w:val="0"/>
                <w:i w:val="0"/>
                <w:sz w:val="19"/>
              </w:rPr>
              <w:t>/api/stays</w:t>
            </w:r>
          </w:p>
        </w:tc>
        <w:tc>
          <w:tcPr>
            <w:tcW w:type="dxa" w:w="2390"/>
          </w:tcPr>
          <w:p>
            <w:pPr>
              <w:spacing w:after="20"/>
            </w:pPr>
            <w:r>
              <w:rPr>
                <w:b w:val="0"/>
                <w:i w:val="0"/>
                <w:sz w:val="19"/>
              </w:rPr>
              <w:t>Staff</w:t>
            </w:r>
          </w:p>
        </w:tc>
      </w:tr>
      <w:tr>
        <w:trPr>
          <w:cantSplit w:val="true"/>
        </w:trPr>
        <w:tc>
          <w:tcPr>
            <w:tcW w:type="dxa" w:w="2390"/>
            <w:shd w:val="clear" w:color="auto" w:fill="F2F6FB"/>
          </w:tcPr>
          <w:p>
            <w:pPr>
              <w:spacing w:after="20"/>
            </w:pPr>
            <w:r>
              <w:rPr>
                <w:b w:val="0"/>
                <w:i w:val="0"/>
                <w:sz w:val="19"/>
              </w:rPr>
              <w:t>Operations</w:t>
            </w:r>
          </w:p>
        </w:tc>
        <w:tc>
          <w:tcPr>
            <w:tcW w:type="dxa" w:w="4249"/>
            <w:shd w:val="clear" w:color="auto" w:fill="F2F6FB"/>
          </w:tcPr>
          <w:p>
            <w:pPr>
              <w:spacing w:after="20"/>
            </w:pPr>
            <w:r>
              <w:rPr>
                <w:b w:val="0"/>
                <w:i w:val="0"/>
                <w:sz w:val="19"/>
              </w:rPr>
              <w:t>/api/housekeeping, /api/service-requests, /api/support-tickets</w:t>
            </w:r>
          </w:p>
        </w:tc>
        <w:tc>
          <w:tcPr>
            <w:tcW w:type="dxa" w:w="2390"/>
            <w:shd w:val="clear" w:color="auto" w:fill="F2F6FB"/>
          </w:tcPr>
          <w:p>
            <w:pPr>
              <w:spacing w:after="20"/>
            </w:pPr>
            <w:r>
              <w:rPr>
                <w:b w:val="0"/>
                <w:i w:val="0"/>
                <w:sz w:val="19"/>
              </w:rPr>
              <w:t>Staff, Guest</w:t>
            </w:r>
          </w:p>
        </w:tc>
      </w:tr>
      <w:tr>
        <w:trPr>
          <w:cantSplit w:val="true"/>
        </w:trPr>
        <w:tc>
          <w:tcPr>
            <w:tcW w:type="dxa" w:w="2390"/>
          </w:tcPr>
          <w:p>
            <w:pPr>
              <w:spacing w:after="20"/>
            </w:pPr>
            <w:r>
              <w:rPr>
                <w:b w:val="0"/>
                <w:i w:val="0"/>
                <w:sz w:val="19"/>
              </w:rPr>
              <w:t>Reviews and notifications</w:t>
            </w:r>
          </w:p>
        </w:tc>
        <w:tc>
          <w:tcPr>
            <w:tcW w:type="dxa" w:w="4249"/>
          </w:tcPr>
          <w:p>
            <w:pPr>
              <w:spacing w:after="20"/>
            </w:pPr>
            <w:r>
              <w:rPr>
                <w:b w:val="0"/>
                <w:i w:val="0"/>
                <w:sz w:val="19"/>
              </w:rPr>
              <w:t>/api/reviews, /api/notifications</w:t>
            </w:r>
          </w:p>
        </w:tc>
        <w:tc>
          <w:tcPr>
            <w:tcW w:type="dxa" w:w="2390"/>
          </w:tcPr>
          <w:p>
            <w:pPr>
              <w:spacing w:after="20"/>
            </w:pPr>
            <w:r>
              <w:rPr>
                <w:b w:val="0"/>
                <w:i w:val="0"/>
                <w:sz w:val="19"/>
              </w:rPr>
              <w:t>Guest, Admin</w:t>
            </w:r>
          </w:p>
        </w:tc>
      </w:tr>
      <w:tr>
        <w:trPr>
          <w:cantSplit w:val="true"/>
        </w:trPr>
        <w:tc>
          <w:tcPr>
            <w:tcW w:type="dxa" w:w="2390"/>
            <w:shd w:val="clear" w:color="auto" w:fill="F2F6FB"/>
          </w:tcPr>
          <w:p>
            <w:pPr>
              <w:spacing w:after="20"/>
            </w:pPr>
            <w:r>
              <w:rPr>
                <w:b w:val="0"/>
                <w:i w:val="0"/>
                <w:sz w:val="19"/>
              </w:rPr>
              <w:t>Administration and reports</w:t>
            </w:r>
          </w:p>
        </w:tc>
        <w:tc>
          <w:tcPr>
            <w:tcW w:type="dxa" w:w="4249"/>
            <w:shd w:val="clear" w:color="auto" w:fill="F2F6FB"/>
          </w:tcPr>
          <w:p>
            <w:pPr>
              <w:spacing w:after="20"/>
            </w:pPr>
            <w:r>
              <w:rPr>
                <w:b w:val="0"/>
                <w:i w:val="0"/>
                <w:sz w:val="19"/>
              </w:rPr>
              <w:t>/api/admin, /api/staff, /api/hotels</w:t>
            </w:r>
          </w:p>
        </w:tc>
        <w:tc>
          <w:tcPr>
            <w:tcW w:type="dxa" w:w="2390"/>
            <w:shd w:val="clear" w:color="auto" w:fill="F2F6FB"/>
          </w:tcPr>
          <w:p>
            <w:pPr>
              <w:spacing w:after="20"/>
            </w:pPr>
            <w:r>
              <w:rPr>
                <w:b w:val="0"/>
                <w:i w:val="0"/>
                <w:sz w:val="19"/>
              </w:rPr>
              <w:t>Admin, Manager</w:t>
            </w:r>
          </w:p>
        </w:tc>
      </w:tr>
    </w:tbl>
    <w:p>
      <w:pPr>
        <w:spacing w:after="40"/>
      </w:pPr>
    </w:p>
    <w:p>
      <w:pPr>
        <w:pStyle w:val="Heading1"/>
      </w:pPr>
      <w:r>
        <w:t>8. Security Architecture Summary</w:t>
      </w:r>
    </w:p>
    <w:p>
      <w:pPr>
        <w:pStyle w:val="ListBullet"/>
      </w:pPr>
      <w:r>
        <w:rPr>
          <w:b w:val="0"/>
          <w:i w:val="0"/>
        </w:rPr>
        <w:t>HTTPS for all traffic; CORS restricted to the configured client URL.</w:t>
      </w:r>
    </w:p>
    <w:p>
      <w:pPr>
        <w:pStyle w:val="ListBullet"/>
      </w:pPr>
      <w:r>
        <w:rPr>
          <w:b w:val="0"/>
          <w:i w:val="0"/>
        </w:rPr>
        <w:t>bcryptjs password hashing; JWT with expiry; role claims verified on each request.</w:t>
      </w:r>
    </w:p>
    <w:p>
      <w:pPr>
        <w:pStyle w:val="ListBullet"/>
      </w:pPr>
      <w:r>
        <w:rPr>
          <w:b w:val="0"/>
          <w:i w:val="0"/>
        </w:rPr>
        <w:t>Server-side validation of all inputs; file-upload type and size limits.</w:t>
      </w:r>
    </w:p>
    <w:p>
      <w:pPr>
        <w:pStyle w:val="ListBullet"/>
      </w:pPr>
      <w:r>
        <w:rPr>
          <w:b w:val="0"/>
          <w:i w:val="0"/>
        </w:rPr>
        <w:t>Payment verification by signature/webhook; card data never stored in HotelPro.</w:t>
      </w:r>
    </w:p>
    <w:p>
      <w:pPr>
        <w:pStyle w:val="ListBullet"/>
      </w:pPr>
      <w:r>
        <w:rPr>
          <w:b w:val="0"/>
          <w:i w:val="0"/>
        </w:rPr>
        <w:t>Audit log for security and administrative actions.</w:t>
      </w:r>
    </w:p>
    <w:p>
      <w:r>
        <w:rPr>
          <w:b w:val="0"/>
          <w:i w:val="0"/>
        </w:rPr>
        <w:t>Detailed controls: Security and Access Control Design document.</w:t>
      </w:r>
    </w:p>
    <w:p>
      <w:pPr>
        <w:pStyle w:val="Heading1"/>
      </w:pPr>
      <w:r>
        <w:t>9. Design Decisions</w:t>
      </w:r>
    </w:p>
    <w:p>
      <w:pPr>
        <w:keepNext/>
        <w:spacing w:after="60"/>
      </w:pPr>
      <w:r>
        <w:rPr>
          <w:b/>
          <w:i/>
          <w:color w:val="404040"/>
          <w:sz w:val="20"/>
        </w:rPr>
        <w:t>Table 3: Design decisions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57"/>
        <w:gridCol w:w="2257"/>
        <w:gridCol w:w="2257"/>
        <w:gridCol w:w="2257"/>
      </w:tblGrid>
      <w:tr>
        <w:trPr>
          <w:tblHeader w:val="true"/>
        </w:trPr>
        <w:tc>
          <w:tcPr>
            <w:tcW w:type="dxa" w:w="797"/>
            <w:shd w:val="clear" w:color="auto" w:fill="1F3864"/>
          </w:tcPr>
          <w:p>
            <w:pPr>
              <w:spacing w:after="20"/>
            </w:pPr>
            <w:r>
              <w:rPr>
                <w:b/>
                <w:color w:val="FFFFFF"/>
                <w:sz w:val="18"/>
              </w:rPr>
              <w:t>ID</w:t>
            </w:r>
          </w:p>
        </w:tc>
        <w:tc>
          <w:tcPr>
            <w:tcW w:type="dxa" w:w="3054"/>
            <w:shd w:val="clear" w:color="auto" w:fill="1F3864"/>
          </w:tcPr>
          <w:p>
            <w:pPr>
              <w:spacing w:after="20"/>
            </w:pPr>
            <w:r>
              <w:rPr>
                <w:b/>
                <w:color w:val="FFFFFF"/>
                <w:sz w:val="18"/>
              </w:rPr>
              <w:t>Decision</w:t>
            </w:r>
          </w:p>
        </w:tc>
        <w:tc>
          <w:tcPr>
            <w:tcW w:type="dxa" w:w="3054"/>
            <w:shd w:val="clear" w:color="auto" w:fill="1F3864"/>
          </w:tcPr>
          <w:p>
            <w:pPr>
              <w:spacing w:after="20"/>
            </w:pPr>
            <w:r>
              <w:rPr>
                <w:b/>
                <w:color w:val="FFFFFF"/>
                <w:sz w:val="18"/>
              </w:rPr>
              <w:t>Rationale</w:t>
            </w:r>
          </w:p>
        </w:tc>
        <w:tc>
          <w:tcPr>
            <w:tcW w:type="dxa" w:w="2124"/>
            <w:shd w:val="clear" w:color="auto" w:fill="1F3864"/>
          </w:tcPr>
          <w:p>
            <w:pPr>
              <w:spacing w:after="20"/>
            </w:pPr>
            <w:r>
              <w:rPr>
                <w:b/>
                <w:color w:val="FFFFFF"/>
                <w:sz w:val="18"/>
              </w:rPr>
              <w:t>Alternatives</w:t>
            </w:r>
          </w:p>
        </w:tc>
      </w:tr>
      <w:tr>
        <w:trPr>
          <w:cantSplit w:val="true"/>
        </w:trPr>
        <w:tc>
          <w:tcPr>
            <w:tcW w:type="dxa" w:w="797"/>
          </w:tcPr>
          <w:p>
            <w:pPr>
              <w:spacing w:after="20"/>
            </w:pPr>
            <w:r>
              <w:rPr>
                <w:b w:val="0"/>
                <w:i w:val="0"/>
                <w:sz w:val="18"/>
              </w:rPr>
              <w:t>DD-1</w:t>
            </w:r>
          </w:p>
        </w:tc>
        <w:tc>
          <w:tcPr>
            <w:tcW w:type="dxa" w:w="3054"/>
          </w:tcPr>
          <w:p>
            <w:pPr>
              <w:spacing w:after="20"/>
            </w:pPr>
            <w:r>
              <w:rPr>
                <w:b w:val="0"/>
                <w:i w:val="0"/>
                <w:sz w:val="18"/>
              </w:rPr>
              <w:t>Single REST API for all roles with role-based middleware</w:t>
            </w:r>
          </w:p>
        </w:tc>
        <w:tc>
          <w:tcPr>
            <w:tcW w:type="dxa" w:w="3054"/>
          </w:tcPr>
          <w:p>
            <w:pPr>
              <w:spacing w:after="20"/>
            </w:pPr>
            <w:r>
              <w:rPr>
                <w:b w:val="0"/>
                <w:i w:val="0"/>
                <w:sz w:val="18"/>
              </w:rPr>
              <w:t>Simpler than separate services for an academic-scale project</w:t>
            </w:r>
          </w:p>
        </w:tc>
        <w:tc>
          <w:tcPr>
            <w:tcW w:type="dxa" w:w="2124"/>
          </w:tcPr>
          <w:p>
            <w:pPr>
              <w:spacing w:after="20"/>
            </w:pPr>
            <w:r>
              <w:rPr>
                <w:b w:val="0"/>
                <w:i w:val="0"/>
                <w:sz w:val="18"/>
              </w:rPr>
              <w:t>Microservices (rejected as over-engineering)</w:t>
            </w:r>
          </w:p>
        </w:tc>
      </w:tr>
      <w:tr>
        <w:trPr>
          <w:cantSplit w:val="true"/>
        </w:trPr>
        <w:tc>
          <w:tcPr>
            <w:tcW w:type="dxa" w:w="797"/>
            <w:shd w:val="clear" w:color="auto" w:fill="F2F6FB"/>
          </w:tcPr>
          <w:p>
            <w:pPr>
              <w:spacing w:after="20"/>
            </w:pPr>
            <w:r>
              <w:rPr>
                <w:b w:val="0"/>
                <w:i w:val="0"/>
                <w:sz w:val="18"/>
              </w:rPr>
              <w:t>DD-2</w:t>
            </w:r>
          </w:p>
        </w:tc>
        <w:tc>
          <w:tcPr>
            <w:tcW w:type="dxa" w:w="3054"/>
            <w:shd w:val="clear" w:color="auto" w:fill="F2F6FB"/>
          </w:tcPr>
          <w:p>
            <w:pPr>
              <w:spacing w:after="20"/>
            </w:pPr>
            <w:r>
              <w:rPr>
                <w:b w:val="0"/>
                <w:i w:val="0"/>
                <w:sz w:val="18"/>
              </w:rPr>
              <w:t>JWT-based stateless authentication</w:t>
            </w:r>
          </w:p>
        </w:tc>
        <w:tc>
          <w:tcPr>
            <w:tcW w:type="dxa" w:w="3054"/>
            <w:shd w:val="clear" w:color="auto" w:fill="F2F6FB"/>
          </w:tcPr>
          <w:p>
            <w:pPr>
              <w:spacing w:after="20"/>
            </w:pPr>
            <w:r>
              <w:rPr>
                <w:b w:val="0"/>
                <w:i w:val="0"/>
                <w:sz w:val="18"/>
              </w:rPr>
              <w:t>Scales horizontally; works well with SPA</w:t>
            </w:r>
          </w:p>
        </w:tc>
        <w:tc>
          <w:tcPr>
            <w:tcW w:type="dxa" w:w="2124"/>
            <w:shd w:val="clear" w:color="auto" w:fill="F2F6FB"/>
          </w:tcPr>
          <w:p>
            <w:pPr>
              <w:spacing w:after="20"/>
            </w:pPr>
            <w:r>
              <w:rPr>
                <w:b w:val="0"/>
                <w:i w:val="0"/>
                <w:sz w:val="18"/>
              </w:rPr>
              <w:t>Server sessions (needs shared store)</w:t>
            </w:r>
          </w:p>
        </w:tc>
      </w:tr>
      <w:tr>
        <w:trPr>
          <w:cantSplit w:val="true"/>
        </w:trPr>
        <w:tc>
          <w:tcPr>
            <w:tcW w:type="dxa" w:w="797"/>
          </w:tcPr>
          <w:p>
            <w:pPr>
              <w:spacing w:after="20"/>
            </w:pPr>
            <w:r>
              <w:rPr>
                <w:b w:val="0"/>
                <w:i w:val="0"/>
                <w:sz w:val="18"/>
              </w:rPr>
              <w:t>DD-3</w:t>
            </w:r>
          </w:p>
        </w:tc>
        <w:tc>
          <w:tcPr>
            <w:tcW w:type="dxa" w:w="3054"/>
          </w:tcPr>
          <w:p>
            <w:pPr>
              <w:spacing w:after="20"/>
            </w:pPr>
            <w:r>
              <w:rPr>
                <w:b w:val="0"/>
                <w:i w:val="0"/>
                <w:sz w:val="18"/>
              </w:rPr>
              <w:t>MongoDB with referenced documents</w:t>
            </w:r>
          </w:p>
        </w:tc>
        <w:tc>
          <w:tcPr>
            <w:tcW w:type="dxa" w:w="3054"/>
          </w:tcPr>
          <w:p>
            <w:pPr>
              <w:spacing w:after="20"/>
            </w:pPr>
            <w:r>
              <w:rPr>
                <w:b w:val="0"/>
                <w:i w:val="0"/>
                <w:sz w:val="18"/>
              </w:rPr>
              <w:t>Flexible schema, natural fit with Node.js; references avoid large documents</w:t>
            </w:r>
          </w:p>
        </w:tc>
        <w:tc>
          <w:tcPr>
            <w:tcW w:type="dxa" w:w="2124"/>
          </w:tcPr>
          <w:p>
            <w:pPr>
              <w:spacing w:after="20"/>
            </w:pPr>
            <w:r>
              <w:rPr>
                <w:b w:val="0"/>
                <w:i w:val="0"/>
                <w:sz w:val="18"/>
              </w:rPr>
              <w:t>Relational DB (not in stated stack)</w:t>
            </w:r>
          </w:p>
        </w:tc>
      </w:tr>
      <w:tr>
        <w:trPr>
          <w:cantSplit w:val="true"/>
        </w:trPr>
        <w:tc>
          <w:tcPr>
            <w:tcW w:type="dxa" w:w="797"/>
            <w:shd w:val="clear" w:color="auto" w:fill="F2F6FB"/>
          </w:tcPr>
          <w:p>
            <w:pPr>
              <w:spacing w:after="20"/>
            </w:pPr>
            <w:r>
              <w:rPr>
                <w:b w:val="0"/>
                <w:i w:val="0"/>
                <w:sz w:val="18"/>
              </w:rPr>
              <w:t>DD-4</w:t>
            </w:r>
          </w:p>
        </w:tc>
        <w:tc>
          <w:tcPr>
            <w:tcW w:type="dxa" w:w="3054"/>
            <w:shd w:val="clear" w:color="auto" w:fill="F2F6FB"/>
          </w:tcPr>
          <w:p>
            <w:pPr>
              <w:spacing w:after="20"/>
            </w:pPr>
            <w:r>
              <w:rPr>
                <w:b w:val="0"/>
                <w:i w:val="0"/>
                <w:sz w:val="18"/>
              </w:rPr>
              <w:t>Booking holds in PENDING state with expiry</w:t>
            </w:r>
          </w:p>
        </w:tc>
        <w:tc>
          <w:tcPr>
            <w:tcW w:type="dxa" w:w="3054"/>
            <w:shd w:val="clear" w:color="auto" w:fill="F2F6FB"/>
          </w:tcPr>
          <w:p>
            <w:pPr>
              <w:spacing w:after="20"/>
            </w:pPr>
            <w:r>
              <w:rPr>
                <w:b w:val="0"/>
                <w:i w:val="0"/>
                <w:sz w:val="18"/>
              </w:rPr>
              <w:t>Prevents room blocking by abandoned payments</w:t>
            </w:r>
          </w:p>
        </w:tc>
        <w:tc>
          <w:tcPr>
            <w:tcW w:type="dxa" w:w="2124"/>
            <w:shd w:val="clear" w:color="auto" w:fill="F2F6FB"/>
          </w:tcPr>
          <w:p>
            <w:pPr>
              <w:spacing w:after="20"/>
            </w:pPr>
            <w:r>
              <w:rPr>
                <w:b w:val="0"/>
                <w:i w:val="0"/>
                <w:sz w:val="18"/>
              </w:rPr>
              <w:t>Immediate confirmation without payment (rejected)</w:t>
            </w:r>
          </w:p>
        </w:tc>
      </w:tr>
      <w:tr>
        <w:trPr>
          <w:cantSplit w:val="true"/>
        </w:trPr>
        <w:tc>
          <w:tcPr>
            <w:tcW w:type="dxa" w:w="797"/>
          </w:tcPr>
          <w:p>
            <w:pPr>
              <w:spacing w:after="20"/>
            </w:pPr>
            <w:r>
              <w:rPr>
                <w:b w:val="0"/>
                <w:i w:val="0"/>
                <w:sz w:val="18"/>
              </w:rPr>
              <w:t>DD-5</w:t>
            </w:r>
          </w:p>
        </w:tc>
        <w:tc>
          <w:tcPr>
            <w:tcW w:type="dxa" w:w="3054"/>
          </w:tcPr>
          <w:p>
            <w:pPr>
              <w:spacing w:after="20"/>
            </w:pPr>
            <w:r>
              <w:rPr>
                <w:b w:val="0"/>
                <w:i w:val="0"/>
                <w:sz w:val="18"/>
              </w:rPr>
              <w:t>Hotel Management as a staff sub-role</w:t>
            </w:r>
          </w:p>
        </w:tc>
        <w:tc>
          <w:tcPr>
            <w:tcW w:type="dxa" w:w="3054"/>
          </w:tcPr>
          <w:p>
            <w:pPr>
              <w:spacing w:after="20"/>
            </w:pPr>
            <w:r>
              <w:rPr>
                <w:b w:val="0"/>
                <w:i w:val="0"/>
                <w:sz w:val="18"/>
              </w:rPr>
              <w:t>Keeps role model to Guest/Staff/Admin as specified</w:t>
            </w:r>
          </w:p>
        </w:tc>
        <w:tc>
          <w:tcPr>
            <w:tcW w:type="dxa" w:w="2124"/>
          </w:tcPr>
          <w:p>
            <w:pPr>
              <w:spacing w:after="20"/>
            </w:pPr>
            <w:r>
              <w:rPr>
                <w:b w:val="0"/>
                <w:i w:val="0"/>
                <w:sz w:val="18"/>
              </w:rPr>
              <w:t>Separate Manager role (to be confirmed)</w:t>
            </w:r>
          </w:p>
        </w:tc>
      </w:tr>
      <w:tr>
        <w:trPr>
          <w:cantSplit w:val="true"/>
        </w:trPr>
        <w:tc>
          <w:tcPr>
            <w:tcW w:type="dxa" w:w="797"/>
            <w:shd w:val="clear" w:color="auto" w:fill="F2F6FB"/>
          </w:tcPr>
          <w:p>
            <w:pPr>
              <w:spacing w:after="20"/>
            </w:pPr>
            <w:r>
              <w:rPr>
                <w:b w:val="0"/>
                <w:i w:val="0"/>
                <w:sz w:val="18"/>
              </w:rPr>
              <w:t>DD-6</w:t>
            </w:r>
          </w:p>
        </w:tc>
        <w:tc>
          <w:tcPr>
            <w:tcW w:type="dxa" w:w="3054"/>
            <w:shd w:val="clear" w:color="auto" w:fill="F2F6FB"/>
          </w:tcPr>
          <w:p>
            <w:pPr>
              <w:spacing w:after="20"/>
            </w:pPr>
            <w:r>
              <w:rPr>
                <w:b w:val="0"/>
                <w:i w:val="0"/>
                <w:sz w:val="18"/>
              </w:rPr>
              <w:t>Token storage strategy (httpOnly cookie vs memory/localStorage)</w:t>
            </w:r>
          </w:p>
        </w:tc>
        <w:tc>
          <w:tcPr>
            <w:tcW w:type="dxa" w:w="3054"/>
            <w:shd w:val="clear" w:color="auto" w:fill="F2F6FB"/>
          </w:tcPr>
          <w:p>
            <w:pPr>
              <w:spacing w:after="20"/>
            </w:pPr>
            <w:r>
              <w:rPr>
                <w:b w:val="0"/>
                <w:i w:val="0"/>
                <w:sz w:val="18"/>
              </w:rPr>
              <w:t>Security vs simplicity trade-off</w:t>
            </w:r>
          </w:p>
        </w:tc>
        <w:tc>
          <w:tcPr>
            <w:tcW w:type="dxa" w:w="2124"/>
            <w:shd w:val="clear" w:color="auto" w:fill="F2F6FB"/>
          </w:tcPr>
          <w:p>
            <w:pPr>
              <w:spacing w:after="20"/>
            </w:pPr>
            <w:r>
              <w:rPr>
                <w:b w:val="0"/>
                <w:i w:val="0"/>
                <w:sz w:val="18"/>
              </w:rPr>
              <w:t>To Be Confirmed</w:t>
            </w:r>
          </w:p>
        </w:tc>
      </w:tr>
    </w:tbl>
    <w:p>
      <w:pPr>
        <w:spacing w:after="40"/>
      </w:pPr>
    </w:p>
    <w:p>
      <w:pPr>
        <w:pStyle w:val="Heading1"/>
      </w:pPr>
      <w:r>
        <w:t>10. Deployment View</w:t>
      </w:r>
    </w:p>
    <w:p>
      <w:pPr>
        <w:keepNext/>
        <w:jc w:val="center"/>
      </w:pPr>
      <w:r>
        <w:drawing>
          <wp:inline xmlns:a="http://schemas.openxmlformats.org/drawingml/2006/main" xmlns:pic="http://schemas.openxmlformats.org/drawingml/2006/picture">
            <wp:extent cx="4754880" cy="2891158"/>
            <wp:docPr id="3" name="Picture 3"/>
            <wp:cNvGraphicFramePr>
              <a:graphicFrameLocks noChangeAspect="1"/>
            </wp:cNvGraphicFramePr>
            <a:graphic>
              <a:graphicData uri="http://schemas.openxmlformats.org/drawingml/2006/picture">
                <pic:pic>
                  <pic:nvPicPr>
                    <pic:cNvPr id="0" name="deploy.png"/>
                    <pic:cNvPicPr/>
                  </pic:nvPicPr>
                  <pic:blipFill>
                    <a:blip r:embed="rId12"/>
                    <a:stretch>
                      <a:fillRect/>
                    </a:stretch>
                  </pic:blipFill>
                  <pic:spPr>
                    <a:xfrm>
                      <a:off x="0" y="0"/>
                      <a:ext cx="4754880" cy="2891158"/>
                    </a:xfrm>
                    <a:prstGeom prst="rect"/>
                  </pic:spPr>
                </pic:pic>
              </a:graphicData>
            </a:graphic>
          </wp:inline>
        </w:drawing>
      </w:r>
    </w:p>
    <w:p>
      <w:pPr>
        <w:jc w:val="center"/>
      </w:pPr>
      <w:r>
        <w:rPr>
          <w:b/>
          <w:i/>
          <w:sz w:val="20"/>
        </w:rPr>
        <w:t>Figure 3: Planned deployment view (dashed items are optional)</w:t>
      </w:r>
    </w:p>
    <w:p>
      <w:pPr>
        <w:pStyle w:val="Heading2"/>
      </w:pPr>
      <w:r>
        <w:t>References</w:t>
      </w:r>
    </w:p>
    <w:p>
      <w:pPr>
        <w:pStyle w:val="ListBullet"/>
      </w:pPr>
      <w:hyperlink r:id="rId13">
        <w:r>
          <w:rPr>
            <w:color w:val="0563C1"/>
            <w:u w:val="single"/>
          </w:rPr>
          <w:t xml:space="preserve">Express – Production Best Practices: Security – https://expressjs.com/en/advanced/best-practice-security.html</w:t>
        </w:r>
      </w:hyperlink>
    </w:p>
    <w:p>
      <w:pPr>
        <w:pStyle w:val="ListBullet"/>
      </w:pPr>
      <w:hyperlink r:id="rId14">
        <w:r>
          <w:rPr>
            <w:color w:val="0563C1"/>
            <w:u w:val="single"/>
          </w:rPr>
          <w:t xml:space="preserve">OWASP Top 10 – https://owasp.org/www-project-top-ten/</w:t>
        </w:r>
      </w:hyperlink>
    </w:p>
    <w:p>
      <w:pPr>
        <w:pStyle w:val="ListBullet"/>
      </w:pPr>
      <w:hyperlink r:id="rId15">
        <w:r>
          <w:rPr>
            <w:color w:val="0563C1"/>
            <w:u w:val="single"/>
          </w:rPr>
          <w:t xml:space="preserve">MongoDB Schema Design Patterns – https://www.mongodb.com/docs/manual/data-modeling/</w:t>
        </w:r>
      </w:hyperlink>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Project Design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expressjs.com/en/advanced/best-practice-security.html" TargetMode="External"/><Relationship Id="rId14" Type="http://schemas.openxmlformats.org/officeDocument/2006/relationships/hyperlink" Target="https://owasp.org/www-project-top-ten/" TargetMode="External"/><Relationship Id="rId15" Type="http://schemas.openxmlformats.org/officeDocument/2006/relationships/hyperlink" Target="https://www.mongodb.com/docs/manual/data-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