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8AAB"/>
          <w:sz w:val="20"/>
        </w:rPr>
        <w:t>RAJYA SHIKSHA KENDRA (RSK) • MADHYA PRADESH</w:t>
      </w:r>
    </w:p>
    <w:p>
      <w:pPr>
        <w:spacing w:before="0" w:after="80"/>
      </w:pPr>
      <w:r>
        <w:rPr>
          <w:rFonts w:ascii="Arial" w:hAnsi="Arial"/>
          <w:b/>
          <w:color w:val="0F172A"/>
          <w:sz w:val="40"/>
        </w:rPr>
        <w:t>Shaikshik Samwaad &amp; District Orientation (DO)</w:t>
        <w:br/>
        <w:t>Executive Intelligence Studio</w:t>
      </w:r>
    </w:p>
    <w:p>
      <w:pPr>
        <w:spacing w:before="0" w:after="280"/>
      </w:pPr>
      <w:r>
        <w:rPr>
          <w:rFonts w:ascii="Arial" w:hAnsi="Arial"/>
          <w:color w:val="64748B"/>
          <w:sz w:val="24"/>
        </w:rPr>
        <w:t>Comprehensive User Guide, Analytical Framework &amp; Operational Manual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 xml:space="preserve">📊 Live Interactive Platform: </w:t>
            </w:r>
            <w:r>
              <w:rPr>
                <w:color w:val="1D4ED8"/>
                <w:sz w:val="19"/>
              </w:rPr>
              <w:t>https://ashishghanghoriya1-png.github.io/MP-Shaikshik-Samwaad/</w:t>
              <w:br/>
            </w:r>
            <w:r>
              <w:rPr>
                <w:b/>
                <w:sz w:val="19"/>
              </w:rPr>
              <w:t xml:space="preserve">👤 Lead Analytics Architect: </w:t>
            </w:r>
            <w:r>
              <w:rPr>
                <w:sz w:val="19"/>
              </w:rPr>
              <w:t>Ashish Ghanghoriya (ashish.ghanghoria@peepulindia.org)</w:t>
              <w:br/>
            </w:r>
            <w:r>
              <w:rPr>
                <w:b/>
                <w:sz w:val="19"/>
              </w:rPr>
              <w:t xml:space="preserve">🏛️ Target Stakeholders: </w:t>
            </w:r>
            <w:r>
              <w:rPr>
                <w:sz w:val="19"/>
              </w:rPr>
              <w:t>RSK Leadership, DPCs, DEOs, APCs, BRCs, BACs, and Cluster Resource Center Coordinators (CACs).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008AAB"/>
        </w:rPr>
        <w:t>1. Executive Summary &amp; Core Objectives</w:t>
      </w:r>
    </w:p>
    <w:p>
      <w:r>
        <w:rPr>
          <w:sz w:val="21"/>
        </w:rPr>
        <w:t xml:space="preserve">The </w:t>
      </w:r>
      <w:r>
        <w:rPr>
          <w:b/>
          <w:sz w:val="21"/>
        </w:rPr>
        <w:t>RSK Shaikshik Samwaad &amp; District Orientation (DO) Executive Intelligence Studio</w:t>
      </w:r>
      <w:r>
        <w:rPr>
          <w:sz w:val="21"/>
        </w:rPr>
        <w:t xml:space="preserve"> is a state-level unified analytical portal developed to monitor, evaluate, and benchmark decentralized academic dialogues across Madhya Pradesh for the August 2026 academic cycle (Grades 6–8).</w:t>
      </w:r>
    </w:p>
    <w:p>
      <w:r>
        <w:rPr>
          <w:sz w:val="21"/>
        </w:rPr>
        <w:t xml:space="preserve">The platform tracks operations across </w:t>
      </w:r>
      <w:r>
        <w:rPr>
          <w:b/>
        </w:rPr>
        <w:t>50 active reporting districts</w:t>
      </w:r>
      <w:r>
        <w:rPr>
          <w:sz w:val="21"/>
        </w:rPr>
        <w:t xml:space="preserve">, </w:t>
      </w:r>
      <w:r>
        <w:rPr>
          <w:b/>
        </w:rPr>
        <w:t>312 educational blocks</w:t>
      </w:r>
      <w:r>
        <w:rPr>
          <w:sz w:val="21"/>
        </w:rPr>
        <w:t xml:space="preserve">, and </w:t>
      </w:r>
      <w:r>
        <w:rPr>
          <w:b/>
        </w:rPr>
        <w:t>2,851 CRC clusters</w:t>
      </w:r>
      <w:r>
        <w:rPr>
          <w:sz w:val="21"/>
        </w:rPr>
        <w:t>, synthesizing teacher turnout, leadership cadre performance, pedagogical diagnostics, and systemic field bottlenecks into actionable intelligence.</w:t>
      </w:r>
    </w:p>
    <w:p>
      <w:pPr>
        <w:ind w:left="360"/>
      </w:pPr>
      <w:r>
        <w:rPr>
          <w:b/>
          <w:color w:val="008AAB"/>
        </w:rPr>
        <w:t>🔁 The Statewide Cascade Relationship:</w:t>
        <w:br/>
      </w:r>
      <w:r>
        <w:rPr>
          <w:i/>
          <w:sz w:val="19"/>
        </w:rPr>
        <w:t>1. District Orientation (DO): 56 State/District Cadres train 4,454 District Participants (CACs &amp; Lead Teachers).</w:t>
        <w:br/>
        <w:t>2. Cluster Academic Dialogue (CLSS): Those 4,454 DO Participants cascade as Facilitators across 2,851 CRC clusters, monitored by 516 CLSS Monitors.</w:t>
        <w:br/>
        <w:t>3. Classroom Reach: 23,785 Teachers actively engaged in peer-learning and pedagogical problem-solving.</w:t>
      </w:r>
    </w:p>
    <w:p>
      <w:pPr>
        <w:pStyle w:val="Heading1"/>
        <w:spacing w:before="320" w:after="120"/>
      </w:pPr>
      <w:r>
        <w:rPr>
          <w:color w:val="008AAB"/>
        </w:rPr>
        <w:t>2. Global Controls &amp; Slicers</w:t>
      </w:r>
    </w:p>
    <w:p>
      <w:r>
        <w:rPr>
          <w:sz w:val="21"/>
        </w:rPr>
        <w:t>The studio header provides real-time slicers and controls that adjust metrics dynamically across the dashboard: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008AA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Control / Slicer</w:t>
            </w:r>
          </w:p>
        </w:tc>
        <w:tc>
          <w:tcPr>
            <w:tcW w:type="dxa" w:w="6912"/>
            <w:shd w:fill="008AA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Operational Purpose &amp; Behavior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🌐 Language Switcher (English / हिन्दी)</w:t>
            </w:r>
          </w:p>
        </w:tc>
        <w:tc>
          <w:tcPr>
            <w:tcW w:type="dxa" w:w="69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Instantly translates all titles, KPI cards, table headers, and narrative insights. Utilizes a GPU sliding pill indicator with zero vertical screen bounce or layout flickering.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PROGRAM SLICER (All / CLSS / DO)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• Consolidated (All): Aggregates CLSS (cluster level) + DO (district orientation) data.</w:t>
              <w:br/>
              <w:t>• CLSS: Filters metrics strictly to cluster-level teacher dialogues.</w:t>
              <w:br/>
              <w:t>• DO: Filters metrics strictly to district-level orientation sessions.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CADRE / ROLE SLICER (Teachers / Facilitators / Monitors)</w:t>
            </w:r>
          </w:p>
        </w:tc>
        <w:tc>
          <w:tcPr>
            <w:tcW w:type="dxa" w:w="69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Isolates metrics for specific stakeholder groups: Participating Teachers, Dialogue Facilitators, or State/District Monitors/Observers.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☀️ Light / Dark Mode Toggle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Toggles between High-Contrast Executive White (ideal for day review and printing) and Dark Slate (ideal for low-light presentations).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color w:val="008AAB"/>
        </w:rPr>
        <w:t>3. Top 5 Bento KPI Cards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8AA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KPI Card</w:t>
            </w:r>
          </w:p>
        </w:tc>
        <w:tc>
          <w:tcPr>
            <w:tcW w:type="dxa" w:w="2520"/>
            <w:shd w:fill="008AA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Current Value</w:t>
            </w:r>
          </w:p>
        </w:tc>
        <w:tc>
          <w:tcPr>
            <w:tcW w:type="dxa" w:w="2520"/>
            <w:shd w:fill="008AA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Coverage / Ratio</w:t>
            </w:r>
          </w:p>
        </w:tc>
        <w:tc>
          <w:tcPr>
            <w:tcW w:type="dxa" w:w="2520"/>
            <w:shd w:fill="008AA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Key Analytical Interpretation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1. Coverage Rate (Emerald)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D4ED8"/>
                <w:sz w:val="18"/>
              </w:rPr>
              <w:t>50 Districts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96.2% Statewide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50 of 52 total revenue districts actively conducted and reported dialogue sessions.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2. Program Reach (Teal)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D4ED8"/>
                <w:sz w:val="18"/>
              </w:rPr>
              <w:t>2,851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100% of Units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Total active CRC clusters and outreach training venues mobilized across 312 blocks.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3. Teachers Turnout (Blue)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D4ED8"/>
                <w:sz w:val="18"/>
              </w:rPr>
              <w:t>23,785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67.2% Turnout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Actual participating teachers (23,785) vs expected baseline target of 35,374 teachers.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4. District Participants (Indigo)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D4ED8"/>
                <w:sz w:val="18"/>
              </w:rPr>
              <w:t>4,454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Cascade Pool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CACs and Lead Teachers oriented at district level who served as facilitators in CLSS.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5. Leadership Cadre (Purple)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D4ED8"/>
                <w:sz w:val="18"/>
              </w:rPr>
              <w:t>5,490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572 Monitors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Statewide leadership: 4,918 Facilitators (4,888 CLSS + 30 DO) + 572 Monitors (516 CLSS + 56 DO).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color w:val="008AAB"/>
        </w:rPr>
        <w:t>4. Detailed Walkthrough of the 8 Intelligence Tabs</w:t>
      </w:r>
    </w:p>
    <w:p>
      <w:pPr>
        <w:pStyle w:val="Heading2"/>
        <w:spacing w:before="200" w:after="60"/>
      </w:pPr>
      <w:r>
        <w:rPr>
          <w:color w:val="1D4ED8"/>
          <w:sz w:val="22"/>
        </w:rPr>
        <w:t>📊 Tab 1: Executive BI &amp; Statewide Overview</w:t>
      </w:r>
    </w:p>
    <w:p>
      <w:pPr>
        <w:pStyle w:val="ListBullet"/>
        <w:spacing w:before="0" w:after="40"/>
      </w:pPr>
      <w:r>
        <w:rPr>
          <w:b/>
          <w:sz w:val="19"/>
        </w:rPr>
        <w:t>Top &amp; Bottom 15 Districts Turnout Chart:</w:t>
      </w:r>
      <w:r>
        <w:rPr>
          <w:sz w:val="19"/>
        </w:rPr>
        <w:t xml:space="preserve"> Column visual showing leader and lagger districts by teacher attendance, sortable by CLSS, DO, or Combined Total.</w:t>
      </w:r>
    </w:p>
    <w:p>
      <w:pPr>
        <w:pStyle w:val="ListBullet"/>
        <w:spacing w:before="0" w:after="40"/>
      </w:pPr>
      <w:r>
        <w:rPr>
          <w:b/>
          <w:sz w:val="19"/>
        </w:rPr>
        <w:t>Stakeholder Cadre Breakdown (Donut Chart):</w:t>
      </w:r>
      <w:r>
        <w:rPr>
          <w:sz w:val="19"/>
        </w:rPr>
        <w:t xml:space="preserve"> Multi-color distribution separating Teachers (70.5%), Leadership Cadre (16.3%), and DO Participants (13.2%).</w:t>
      </w:r>
    </w:p>
    <w:p>
      <w:pPr>
        <w:pStyle w:val="ListBullet"/>
        <w:spacing w:before="0" w:after="40"/>
      </w:pPr>
      <w:r>
        <w:rPr>
          <w:b/>
          <w:sz w:val="19"/>
        </w:rPr>
        <w:t>Teacher Trust &amp; Perception Index &amp; 50-District Heatmap:</w:t>
      </w:r>
      <w:r>
        <w:rPr>
          <w:sz w:val="19"/>
        </w:rPr>
        <w:t xml:space="preserve"> Tracks Net Trust Score (+93.8%), Academic Focus (99.4%), Problem Solving (98.9%), and 2-Year Growth (99.2%) with a sticky-district horizontal scrolling matrix.</w:t>
      </w:r>
    </w:p>
    <w:p>
      <w:pPr>
        <w:pStyle w:val="ListBullet"/>
        <w:spacing w:before="0" w:after="40"/>
      </w:pPr>
      <w:r>
        <w:rPr>
          <w:b/>
          <w:sz w:val="19"/>
        </w:rPr>
        <w:t>4-Quadrant District Priority Matrix:</w:t>
      </w:r>
      <w:r>
        <w:rPr>
          <w:sz w:val="19"/>
        </w:rPr>
        <w:t xml:space="preserve"> Segments districts into Q1 Lead (Top Reach &amp; Turnout), Q2 Target, Q3 Turnout Focus, and Q4 Urgent Support.</w:t>
      </w:r>
    </w:p>
    <w:p>
      <w:pPr>
        <w:pStyle w:val="Heading2"/>
        <w:spacing w:before="200" w:after="60"/>
      </w:pPr>
      <w:r>
        <w:rPr>
          <w:color w:val="1D4ED8"/>
          <w:sz w:val="22"/>
        </w:rPr>
        <w:t>📋 Tab 2: Results Framework (RF) Scorecard</w:t>
      </w:r>
    </w:p>
    <w:p>
      <w:pPr>
        <w:pStyle w:val="ListBullet"/>
        <w:spacing w:before="0" w:after="40"/>
      </w:pPr>
      <w:r>
        <w:rPr>
          <w:b/>
          <w:sz w:val="19"/>
        </w:rPr>
        <w:t>RF Indicators RF1 through RF6:</w:t>
      </w:r>
      <w:r>
        <w:rPr>
          <w:sz w:val="19"/>
        </w:rPr>
        <w:t xml:space="preserve"> Direct tracking against State Project Goals, Output metrics, and Outcome benchmarks.</w:t>
      </w:r>
    </w:p>
    <w:p>
      <w:pPr>
        <w:pStyle w:val="ListBullet"/>
        <w:spacing w:before="0" w:after="40"/>
      </w:pPr>
      <w:r>
        <w:rPr>
          <w:b/>
          <w:sz w:val="19"/>
        </w:rPr>
        <w:t>Target vs Actual Gauge Bars:</w:t>
      </w:r>
      <w:r>
        <w:rPr>
          <w:sz w:val="19"/>
        </w:rPr>
        <w:t xml:space="preserve"> Instant visual indicator whether districts meet the 70% threshold.</w:t>
      </w:r>
    </w:p>
    <w:p>
      <w:pPr>
        <w:pStyle w:val="ListBullet"/>
        <w:spacing w:before="0" w:after="40"/>
      </w:pPr>
      <w:r>
        <w:rPr>
          <w:b/>
          <w:sz w:val="19"/>
        </w:rPr>
        <w:t>50-District RF Matrix:</w:t>
      </w:r>
      <w:r>
        <w:rPr>
          <w:sz w:val="19"/>
        </w:rPr>
        <w:t xml:space="preserve"> Cross-tabulated table with live keyword filtering.</w:t>
      </w:r>
    </w:p>
    <w:p>
      <w:pPr>
        <w:pStyle w:val="Heading2"/>
        <w:spacing w:before="200" w:after="60"/>
      </w:pPr>
      <w:r>
        <w:rPr>
          <w:color w:val="1D4ED8"/>
          <w:sz w:val="22"/>
        </w:rPr>
        <w:t>🔍 Tab 3: District 360° Explorer</w:t>
      </w:r>
    </w:p>
    <w:p>
      <w:pPr>
        <w:pStyle w:val="ListBullet"/>
        <w:spacing w:before="0" w:after="40"/>
      </w:pPr>
      <w:r>
        <w:rPr>
          <w:b/>
          <w:sz w:val="19"/>
        </w:rPr>
        <w:t>District Selector Dropdown:</w:t>
      </w:r>
      <w:r>
        <w:rPr>
          <w:sz w:val="19"/>
        </w:rPr>
        <w:t xml:space="preserve"> Deep dive into any single district among all 50 reporting districts.</w:t>
      </w:r>
    </w:p>
    <w:p>
      <w:pPr>
        <w:pStyle w:val="ListBullet"/>
        <w:spacing w:before="0" w:after="40"/>
      </w:pPr>
      <w:r>
        <w:rPr>
          <w:b/>
          <w:sz w:val="19"/>
        </w:rPr>
        <w:t>Hero Card &amp; Block-Level Breakdown:</w:t>
      </w:r>
      <w:r>
        <w:rPr>
          <w:sz w:val="19"/>
        </w:rPr>
        <w:t xml:space="preserve"> Instant block-wise comparison of teacher turnout, clusters, and leadership presence.</w:t>
      </w:r>
    </w:p>
    <w:p>
      <w:pPr>
        <w:pStyle w:val="ListBullet"/>
        <w:spacing w:before="0" w:after="40"/>
      </w:pPr>
      <w:r>
        <w:rPr>
          <w:b/>
          <w:sz w:val="19"/>
        </w:rPr>
        <w:t>Gender Equity &amp; Pedagogy Mastery:</w:t>
      </w:r>
      <w:r>
        <w:rPr>
          <w:sz w:val="19"/>
        </w:rPr>
        <w:t xml:space="preserve"> Female vs Male teacher participation ratios and diagnostic test results.</w:t>
      </w:r>
    </w:p>
    <w:p>
      <w:pPr>
        <w:pStyle w:val="ListBullet"/>
        <w:spacing w:before="0" w:after="40"/>
      </w:pPr>
      <w:r>
        <w:rPr>
          <w:b/>
          <w:sz w:val="19"/>
        </w:rPr>
        <w:t>Head-to-Head District Comparator:</w:t>
      </w:r>
      <w:r>
        <w:rPr>
          <w:sz w:val="19"/>
        </w:rPr>
        <w:t xml:space="preserve"> Select District A and District B for instant side-by-side performance benchmarking.</w:t>
      </w:r>
    </w:p>
    <w:p>
      <w:pPr>
        <w:pStyle w:val="Heading2"/>
        <w:spacing w:before="200" w:after="60"/>
      </w:pPr>
      <w:r>
        <w:rPr>
          <w:color w:val="1D4ED8"/>
          <w:sz w:val="22"/>
        </w:rPr>
        <w:t>🗺️ Tab 4: 50-District League Table</w:t>
      </w:r>
    </w:p>
    <w:p>
      <w:pPr>
        <w:pStyle w:val="ListBullet"/>
        <w:spacing w:before="0" w:after="40"/>
      </w:pPr>
      <w:r>
        <w:rPr>
          <w:b/>
          <w:sz w:val="19"/>
        </w:rPr>
        <w:t>Complete Statewide Leaderboard:</w:t>
      </w:r>
      <w:r>
        <w:rPr>
          <w:sz w:val="19"/>
        </w:rPr>
        <w:t xml:space="preserve"> Fully sortable ranking table by Teachers, DO Participants, Facilitators, Monitors, and Total Mobilization.</w:t>
      </w:r>
    </w:p>
    <w:p>
      <w:pPr>
        <w:pStyle w:val="ListBullet"/>
        <w:spacing w:before="0" w:after="40"/>
      </w:pPr>
      <w:r>
        <w:rPr>
          <w:b/>
          <w:sz w:val="19"/>
        </w:rPr>
        <w:t>Quartile Badging:</w:t>
      </w:r>
      <w:r>
        <w:rPr>
          <w:sz w:val="19"/>
        </w:rPr>
        <w:t xml:space="preserve"> Instant visual identification of Q1 Lead (Top 12), Q2/3 Solid (Mid 26), and Q4 Focus (Bottom 12) districts.</w:t>
      </w:r>
    </w:p>
    <w:p>
      <w:pPr>
        <w:pStyle w:val="ListBullet"/>
        <w:spacing w:before="0" w:after="40"/>
      </w:pPr>
      <w:r>
        <w:rPr>
          <w:b/>
          <w:sz w:val="19"/>
        </w:rPr>
        <w:t>Instant Search &amp; CSV Export:</w:t>
      </w:r>
      <w:r>
        <w:rPr>
          <w:sz w:val="19"/>
        </w:rPr>
        <w:t xml:space="preserve"> Search any district or export clean formatted data.</w:t>
      </w:r>
    </w:p>
    <w:p>
      <w:pPr>
        <w:pStyle w:val="Heading2"/>
        <w:spacing w:before="200" w:after="60"/>
      </w:pPr>
      <w:r>
        <w:rPr>
          <w:color w:val="1D4ED8"/>
          <w:sz w:val="22"/>
        </w:rPr>
        <w:t>🏢 Tab 5: 312-Block Directory</w:t>
      </w:r>
    </w:p>
    <w:p>
      <w:pPr>
        <w:pStyle w:val="ListBullet"/>
        <w:spacing w:before="0" w:after="40"/>
      </w:pPr>
      <w:r>
        <w:rPr>
          <w:b/>
          <w:sz w:val="19"/>
        </w:rPr>
        <w:t>Granular Block-Level Directory:</w:t>
      </w:r>
      <w:r>
        <w:rPr>
          <w:sz w:val="19"/>
        </w:rPr>
        <w:t xml:space="preserve"> Complete operational breakdown of all 312 blocks in Madhya Pradesh.</w:t>
      </w:r>
    </w:p>
    <w:p>
      <w:pPr>
        <w:pStyle w:val="ListBullet"/>
        <w:spacing w:before="0" w:after="40"/>
      </w:pPr>
      <w:r>
        <w:rPr>
          <w:b/>
          <w:sz w:val="19"/>
        </w:rPr>
        <w:t>District Filter Dropdown:</w:t>
      </w:r>
      <w:r>
        <w:rPr>
          <w:sz w:val="19"/>
        </w:rPr>
        <w:t xml:space="preserve"> Filter to inspect all blocks within a specific district or view statewide list.</w:t>
      </w:r>
    </w:p>
    <w:p>
      <w:pPr>
        <w:pStyle w:val="ListBullet"/>
        <w:spacing w:before="0" w:after="40"/>
      </w:pPr>
      <w:r>
        <w:rPr>
          <w:b/>
          <w:sz w:val="19"/>
        </w:rPr>
        <w:t>Reporting Timestamps &amp; Turnout Counts:</w:t>
      </w:r>
      <w:r>
        <w:rPr>
          <w:sz w:val="19"/>
        </w:rPr>
        <w:t xml:space="preserve"> Verify block-level reporting fidelity.</w:t>
      </w:r>
    </w:p>
    <w:p>
      <w:pPr>
        <w:pStyle w:val="Heading2"/>
        <w:spacing w:before="200" w:after="60"/>
      </w:pPr>
      <w:r>
        <w:rPr>
          <w:color w:val="1D4ED8"/>
          <w:sz w:val="22"/>
        </w:rPr>
        <w:t>📋 Tab 6: Universal Question Bank (All 52 Sheets)</w:t>
      </w:r>
    </w:p>
    <w:p>
      <w:pPr>
        <w:pStyle w:val="ListBullet"/>
        <w:spacing w:before="0" w:after="40"/>
      </w:pPr>
      <w:r>
        <w:rPr>
          <w:b/>
          <w:sz w:val="19"/>
        </w:rPr>
        <w:t>Question Browser:</w:t>
      </w:r>
      <w:r>
        <w:rPr>
          <w:sz w:val="19"/>
        </w:rPr>
        <w:t xml:space="preserve"> Explore responses across all 52 survey sheets from Teachers, Facilitators, and Observers.</w:t>
      </w:r>
    </w:p>
    <w:p>
      <w:pPr>
        <w:pStyle w:val="ListBullet"/>
        <w:spacing w:before="0" w:after="40"/>
      </w:pPr>
      <w:r>
        <w:rPr>
          <w:b/>
          <w:sz w:val="19"/>
        </w:rPr>
        <w:t>Response Distribution Bars:</w:t>
      </w:r>
      <w:r>
        <w:rPr>
          <w:sz w:val="19"/>
        </w:rPr>
        <w:t xml:space="preserve"> View percentage splits across Option A, Option B, Option C, and Option D.</w:t>
      </w:r>
    </w:p>
    <w:p>
      <w:pPr>
        <w:pStyle w:val="ListBullet"/>
        <w:spacing w:before="0" w:after="40"/>
      </w:pPr>
      <w:r>
        <w:rPr>
          <w:b/>
          <w:sz w:val="19"/>
        </w:rPr>
        <w:t>District Heatmap:</w:t>
      </w:r>
      <w:r>
        <w:rPr>
          <w:sz w:val="19"/>
        </w:rPr>
        <w:t xml:space="preserve"> Cross-district response variation on critical survey questions.</w:t>
      </w:r>
    </w:p>
    <w:p>
      <w:pPr>
        <w:pStyle w:val="Heading2"/>
        <w:spacing w:before="200" w:after="60"/>
      </w:pPr>
      <w:r>
        <w:rPr>
          <w:color w:val="1D4ED8"/>
          <w:sz w:val="22"/>
        </w:rPr>
        <w:t>🧠 Tab 7: Pedagogy Benchmark &amp; Misconception Engine</w:t>
      </w:r>
    </w:p>
    <w:p>
      <w:pPr>
        <w:pStyle w:val="ListBullet"/>
        <w:spacing w:before="0" w:after="40"/>
      </w:pPr>
      <w:r>
        <w:rPr>
          <w:b/>
          <w:sz w:val="19"/>
        </w:rPr>
        <w:t>Teacher Pedagogy Radar Chart:</w:t>
      </w:r>
      <w:r>
        <w:rPr>
          <w:sz w:val="19"/>
        </w:rPr>
        <w:t xml:space="preserve"> Evaluates mastery in Lesson Planning, Questioning, Assessment, and Engagement.</w:t>
      </w:r>
    </w:p>
    <w:p>
      <w:pPr>
        <w:pStyle w:val="ListBullet"/>
        <w:spacing w:before="0" w:after="40"/>
      </w:pPr>
      <w:r>
        <w:rPr>
          <w:b/>
          <w:sz w:val="19"/>
        </w:rPr>
        <w:t>Statewide Diagnostic &amp; Intervention Plan:</w:t>
      </w:r>
      <w:r>
        <w:rPr>
          <w:sz w:val="19"/>
        </w:rPr>
        <w:t xml:space="preserve"> Prescriptive recommendations for DIET faculty and BRC resource persons.</w:t>
      </w:r>
    </w:p>
    <w:p>
      <w:pPr>
        <w:pStyle w:val="ListBullet"/>
        <w:spacing w:before="0" w:after="40"/>
      </w:pPr>
      <w:r>
        <w:rPr>
          <w:b/>
          <w:sz w:val="19"/>
        </w:rPr>
        <w:t>Misconception Analysis Engine (Q95 &amp; Q97):</w:t>
      </w:r>
      <w:r>
        <w:rPr>
          <w:sz w:val="19"/>
        </w:rPr>
        <w:t xml:space="preserve"> Targeted gap analysis on key subject misconceptions.</w:t>
      </w:r>
    </w:p>
    <w:p>
      <w:pPr>
        <w:pStyle w:val="Heading2"/>
        <w:spacing w:before="200" w:after="60"/>
      </w:pPr>
      <w:r>
        <w:rPr>
          <w:color w:val="1D4ED8"/>
          <w:sz w:val="22"/>
        </w:rPr>
        <w:t>⚠️ Tab 8: Field Bottlenecks &amp; Governance (Sheet 2)</w:t>
      </w:r>
    </w:p>
    <w:p>
      <w:pPr>
        <w:pStyle w:val="ListBullet"/>
        <w:spacing w:before="0" w:after="40"/>
      </w:pPr>
      <w:r>
        <w:rPr>
          <w:b/>
          <w:sz w:val="19"/>
        </w:rPr>
        <w:t>Strategic Field Issues Breakdown:</w:t>
      </w:r>
      <w:r>
        <w:rPr>
          <w:sz w:val="19"/>
        </w:rPr>
        <w:t xml:space="preserve"> Tracks operational lags, connectivity challenges, venue adequacy, and attendance reporting hurdles.</w:t>
      </w:r>
    </w:p>
    <w:p>
      <w:pPr>
        <w:pStyle w:val="ListBullet"/>
        <w:spacing w:before="0" w:after="40"/>
      </w:pPr>
      <w:r>
        <w:rPr>
          <w:b/>
          <w:sz w:val="19"/>
        </w:rPr>
        <w:t>Governance Action Checklist:</w:t>
      </w:r>
      <w:r>
        <w:rPr>
          <w:sz w:val="19"/>
        </w:rPr>
        <w:t xml:space="preserve"> Concrete action items for DPCs and BEOs before the next cycle.</w:t>
      </w:r>
    </w:p>
    <w:p>
      <w:pPr>
        <w:spacing w:after="160"/>
      </w:pPr>
    </w:p>
    <w:p>
      <w:pPr>
        <w:pStyle w:val="Heading1"/>
        <w:spacing w:before="320" w:after="120"/>
      </w:pPr>
      <w:r>
        <w:rPr>
          <w:color w:val="008AAB"/>
        </w:rPr>
        <w:t>5. Top 15 Districts Mobilization Table (CLSS + DO)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008AA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Rank</w:t>
            </w:r>
          </w:p>
        </w:tc>
        <w:tc>
          <w:tcPr>
            <w:tcW w:type="dxa" w:w="1260"/>
            <w:shd w:fill="008AA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District</w:t>
            </w:r>
          </w:p>
        </w:tc>
        <w:tc>
          <w:tcPr>
            <w:tcW w:type="dxa" w:w="1260"/>
            <w:shd w:fill="008AA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CLSS Teachers</w:t>
            </w:r>
          </w:p>
        </w:tc>
        <w:tc>
          <w:tcPr>
            <w:tcW w:type="dxa" w:w="1260"/>
            <w:shd w:fill="008AA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CLSS Fac</w:t>
            </w:r>
          </w:p>
        </w:tc>
        <w:tc>
          <w:tcPr>
            <w:tcW w:type="dxa" w:w="1260"/>
            <w:shd w:fill="008AA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CLSS Mon</w:t>
            </w:r>
          </w:p>
        </w:tc>
        <w:tc>
          <w:tcPr>
            <w:tcW w:type="dxa" w:w="1260"/>
            <w:shd w:fill="008AA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DO Part</w:t>
            </w:r>
          </w:p>
        </w:tc>
        <w:tc>
          <w:tcPr>
            <w:tcW w:type="dxa" w:w="1260"/>
            <w:shd w:fill="008AA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DO Cadre</w:t>
            </w:r>
          </w:p>
        </w:tc>
        <w:tc>
          <w:tcPr>
            <w:tcW w:type="dxa" w:w="1260"/>
            <w:shd w:fill="008AA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7"/>
              </w:rPr>
              <w:t>Combined Total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#1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Betul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952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148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130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D4ED8"/>
                <w:sz w:val="17"/>
              </w:rPr>
              <w:t>1,237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#2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Chhindwara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866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163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142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D4ED8"/>
                <w:sz w:val="17"/>
              </w:rPr>
              <w:t>1,186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#3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Dhar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842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158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166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D4ED8"/>
                <w:sz w:val="17"/>
              </w:rPr>
              <w:t>1,182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#4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Balaghat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802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146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D4ED8"/>
                <w:sz w:val="17"/>
              </w:rPr>
              <w:t>1,061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#5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Ratlam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776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125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114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D4ED8"/>
                <w:sz w:val="17"/>
              </w:rPr>
              <w:t>1,022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#6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Morena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737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115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39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117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D4ED8"/>
                <w:sz w:val="17"/>
              </w:rPr>
              <w:t>1,011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#7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Satna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561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211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10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206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D4ED8"/>
                <w:sz w:val="17"/>
              </w:rPr>
              <w:t>992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#8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Chhatarpur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721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114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120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D4ED8"/>
                <w:sz w:val="17"/>
              </w:rPr>
              <w:t>974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#9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Seoni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692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117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29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122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D4ED8"/>
                <w:sz w:val="17"/>
              </w:rPr>
              <w:t>962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#10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Rajgarh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653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115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129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D4ED8"/>
                <w:sz w:val="17"/>
              </w:rPr>
              <w:t>909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#11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Mandla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638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112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110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D4ED8"/>
                <w:sz w:val="17"/>
              </w:rPr>
              <w:t>874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#12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Panna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621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127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103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D4ED8"/>
                <w:sz w:val="17"/>
              </w:rPr>
              <w:t>866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#13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Bhind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638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118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10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D4ED8"/>
                <w:sz w:val="17"/>
              </w:rPr>
              <w:t>857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#14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Vidisha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614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125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115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D4ED8"/>
                <w:sz w:val="17"/>
              </w:rPr>
              <w:t>857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#15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Barwani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573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107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11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104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D4ED8"/>
                <w:sz w:val="17"/>
              </w:rPr>
              <w:t>797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color w:val="008AAB"/>
        </w:rPr>
        <w:t>6. Operational FAQs &amp; Best Practices</w:t>
      </w:r>
    </w:p>
    <w:p>
      <w:pPr>
        <w:spacing w:before="120" w:after="40"/>
      </w:pPr>
      <w:r>
        <w:rPr>
          <w:b/>
          <w:color w:val="1D4ED8"/>
          <w:sz w:val="20"/>
        </w:rPr>
        <w:t>Q: How can I print or export an executive summary for a review meeting?</w:t>
      </w:r>
    </w:p>
    <w:p>
      <w:pPr>
        <w:spacing w:before="0" w:after="120"/>
      </w:pPr>
      <w:r>
        <w:rPr>
          <w:sz w:val="19"/>
        </w:rPr>
        <w:t>Click the '🖨️ Print Briefing' button on the top-right header. The dashboard automatically formats into an executive print layout. For raw spreadsheet analysis, click 'Export CSV' while on any table tab.</w:t>
      </w:r>
    </w:p>
    <w:p>
      <w:pPr>
        <w:spacing w:before="120" w:after="40"/>
      </w:pPr>
      <w:r>
        <w:rPr>
          <w:b/>
          <w:color w:val="1D4ED8"/>
          <w:sz w:val="20"/>
        </w:rPr>
        <w:t>Q: Why does the Teacher Trust Heatmap table have a sticky district column?</w:t>
      </w:r>
    </w:p>
    <w:p>
      <w:pPr>
        <w:spacing w:before="0" w:after="120"/>
      </w:pPr>
      <w:r>
        <w:rPr>
          <w:sz w:val="19"/>
        </w:rPr>
        <w:t>The 50-District Heatmap contains 8 analytical columns. When scrolling horizontally to view Academic Focus (Q89), Problem Solving (Q90), and 2-Year Growth (Q88), the district name stays pinned on the left for seamless context.</w:t>
      </w:r>
    </w:p>
    <w:p>
      <w:pPr>
        <w:spacing w:before="120" w:after="40"/>
      </w:pPr>
      <w:r>
        <w:rPr>
          <w:b/>
          <w:color w:val="1D4ED8"/>
          <w:sz w:val="20"/>
        </w:rPr>
        <w:t>Q: What is the recommended frequency for reviewing these indicators?</w:t>
      </w:r>
    </w:p>
    <w:p>
      <w:pPr>
        <w:spacing w:before="0" w:after="120"/>
      </w:pPr>
      <w:r>
        <w:rPr>
          <w:sz w:val="19"/>
        </w:rPr>
        <w:t>State project officers and DPCs should review Tab 1 (Turnout &amp; Trust) and Tab 4 (District League) immediately post-dialogue cycle, while DIET academic resource persons should utilize Tab 7 (Pedagogy Radar &amp; Misconception Engine) to design targeted remedial modules.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