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Measures of Dispersion: Range and IQR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Measures of dispersion describe how spread out the values in a dataset are. Two important measures are </w:t>
      </w: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Interquartile Range (IQR)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88r7tye81y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Range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The range is the difference between the maximum and minimum values in a dataset.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49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Suppose we have a dataset: </w:t>
      </w:r>
      <w:r w:rsidDel="00000000" w:rsidR="00000000" w:rsidRPr="00000000">
        <w:rPr>
          <w:b w:val="1"/>
          <w:rtl w:val="0"/>
        </w:rPr>
        <w:t xml:space="preserve">{3, 7, 12, 18, 21}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Maximum value = </w:t>
      </w:r>
      <w:r w:rsidDel="00000000" w:rsidR="00000000" w:rsidRPr="00000000">
        <w:rPr>
          <w:b w:val="1"/>
          <w:rtl w:val="0"/>
        </w:rPr>
        <w:t xml:space="preserve">21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value =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Range = </w:t>
      </w:r>
      <w:r w:rsidDel="00000000" w:rsidR="00000000" w:rsidRPr="00000000">
        <w:rPr>
          <w:b w:val="1"/>
          <w:rtl w:val="0"/>
        </w:rPr>
        <w:t xml:space="preserve">21 - 3 = 18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 &amp; Cons: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Easy to calculate</w:t>
        <w:br w:type="textWrapping"/>
        <w:t xml:space="preserve"> ❌ Affected by outliers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l2ycgwxhw1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Interquartile Range (IQR)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Interquartile Range (IQR)</w:t>
      </w:r>
      <w:r w:rsidDel="00000000" w:rsidR="00000000" w:rsidRPr="00000000">
        <w:rPr>
          <w:rtl w:val="0"/>
        </w:rPr>
        <w:t xml:space="preserve"> measures the spread of the middle </w:t>
      </w:r>
      <w:r w:rsidDel="00000000" w:rsidR="00000000" w:rsidRPr="00000000">
        <w:rPr>
          <w:b w:val="1"/>
          <w:rtl w:val="0"/>
        </w:rPr>
        <w:t xml:space="preserve">50%</w:t>
      </w:r>
      <w:r w:rsidDel="00000000" w:rsidR="00000000" w:rsidRPr="00000000">
        <w:rPr>
          <w:rtl w:val="0"/>
        </w:rPr>
        <w:t xml:space="preserve"> of the data by calculating the difference between the </w:t>
      </w:r>
      <w:r w:rsidDel="00000000" w:rsidR="00000000" w:rsidRPr="00000000">
        <w:rPr>
          <w:b w:val="1"/>
          <w:rtl w:val="0"/>
        </w:rPr>
        <w:t xml:space="preserve">third quartile (Q3)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first quartile (Q1)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/>
        <w:drawing>
          <wp:inline distB="114300" distT="114300" distL="114300" distR="114300">
            <wp:extent cx="2124075" cy="542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Where: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Q1 (First Quartile):</w:t>
      </w:r>
      <w:r w:rsidDel="00000000" w:rsidR="00000000" w:rsidRPr="00000000">
        <w:rPr>
          <w:rtl w:val="0"/>
        </w:rPr>
        <w:t xml:space="preserve"> The 25th percentile (lower quartile)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Q3 (Third Quartile):</w:t>
      </w:r>
      <w:r w:rsidDel="00000000" w:rsidR="00000000" w:rsidRPr="00000000">
        <w:rPr>
          <w:rtl w:val="0"/>
        </w:rPr>
        <w:t xml:space="preserve"> The 75th percentile (upper quartile)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Consider the dataset </w:t>
      </w:r>
      <w:r w:rsidDel="00000000" w:rsidR="00000000" w:rsidRPr="00000000">
        <w:rPr>
          <w:b w:val="1"/>
          <w:rtl w:val="0"/>
        </w:rPr>
        <w:t xml:space="preserve">{1, 3, 5, 7, 9, 11, 13, 15, 17}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Q1 =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(25th percentile)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Q3 = </w:t>
      </w: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  <w:t xml:space="preserve"> (75th percentile)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IQR = </w:t>
      </w:r>
      <w:r w:rsidDel="00000000" w:rsidR="00000000" w:rsidRPr="00000000">
        <w:rPr>
          <w:b w:val="1"/>
          <w:rtl w:val="0"/>
        </w:rPr>
        <w:t xml:space="preserve">13 - 5 = 8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 &amp; Cons: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Not affected by outliers</w:t>
        <w:br w:type="textWrapping"/>
        <w:t xml:space="preserve"> ✅ Gives a better idea of the central spread</w:t>
        <w:br w:type="textWrapping"/>
        <w:t xml:space="preserve"> ❌ Slightly complex to calculate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yp212u7900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Comparison: Range vs. IQR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ofm0zkede5yc" w:id="3"/>
      <w:bookmarkEnd w:id="3"/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/>
      </w:pPr>
      <w:bookmarkStart w:colFirst="0" w:colLast="0" w:name="_rq2wsx2kvmm5" w:id="4"/>
      <w:bookmarkEnd w:id="4"/>
      <w:r w:rsidDel="00000000" w:rsidR="00000000" w:rsidRPr="00000000">
        <w:rPr>
          <w:rtl w:val="0"/>
        </w:rPr>
        <w:t xml:space="preserve">IQR is often preferred in real-world scenarios where outliers exist, such as finance, medical research, and machine learning.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