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Record - CC-2026-0470</w:t>
      </w:r>
    </w:p>
    <w:p>
      <w:r>
        <w:t>Case Reference: CC-2026-0470</w:t>
        <w:br/>
        <w:t>Date Received: 27 March 2026</w:t>
        <w:br/>
        <w:t>Channel: In store, logged by branch manager</w:t>
      </w:r>
    </w:p>
    <w:p>
      <w:r>
        <w:t>Customer Name: Aisha Rahman</w:t>
        <w:br/>
        <w:t>Email: aisha.rahman@example.com</w:t>
        <w:br/>
        <w:t>Phone: 020 7946 0812</w:t>
      </w:r>
    </w:p>
    <w:p>
      <w:r>
        <w:t>Product/Service: In-store installation service</w:t>
      </w:r>
    </w:p>
    <w:p>
      <w:r>
        <w:t>Complaint Description:</w:t>
        <w:br/>
        <w:t>The installation engineer arrived two hours outside the agreed window and did</w:t>
        <w:br/>
        <w:t>not call ahead. The customer describes the engineer as dismissive when she</w:t>
        <w:br/>
        <w:t>raised the delay. The installation itself was completed correctly.</w:t>
      </w:r>
    </w:p>
    <w:p>
      <w:r>
        <w:t>Issue Details:</w:t>
        <w:br/>
        <w:t>The scheduling system had double-booked the engineer. The delay is confirmed by</w:t>
        <w:br/>
        <w:t>the dispatch log. The conduct element is a matter of the customer's account</w:t>
        <w:br/>
        <w:t>against the engineer's; no other party was present.</w:t>
      </w:r>
    </w:p>
    <w:p>
      <w:r>
        <w:t>Supporting Information:</w:t>
        <w:br/>
        <w:t>None provided.</w:t>
      </w:r>
    </w:p>
    <w:p>
      <w:r>
        <w:t>Resolution Provided:</w:t>
        <w:br/>
        <w:t>The branch manager apologised in person on the day and refunded the 45</w:t>
        <w:br/>
        <w:t>installation fee as a goodwill gesture, approved by the service manager. A note</w:t>
        <w:br/>
        <w:t>was added to the engineer's record and the double-booking was reported to</w:t>
        <w:br/>
        <w:t>scheduling.</w:t>
      </w:r>
    </w:p>
    <w:p>
      <w:r>
        <w:t>Escalation Information:</w:t>
        <w:br/>
        <w:t>Referred to the service manager for the goodwill approval and the staff conduct</w:t>
        <w:br/>
        <w:t>note. No further escalation required.</w:t>
      </w:r>
    </w:p>
    <w:p>
      <w:r>
        <w:t>Case Status: Resolved and closed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