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56"/>
          <w:szCs w:val="56"/>
        </w:rPr>
        <w:t xml:space="preserve">QuickBite Express</w:t>
      </w:r>
    </w:p>
    <w:p>
      <w:pPr>
        <w:spacing w:after="100" w:before="100"/>
        <w:jc w:val="center"/>
      </w:pPr>
      <w:r>
        <w:rPr>
          <w:rFonts w:ascii="Arial" w:cs="Arial" w:eastAsia="Arial" w:hAnsi="Arial"/>
          <w:b/>
          <w:bCs/>
          <w:color w:val="2E75B6"/>
          <w:sz w:val="44"/>
          <w:szCs w:val="44"/>
        </w:rPr>
        <w:t xml:space="preserve">Crisis Recovery Analytics</w:t>
      </w:r>
    </w:p>
    <w:p>
      <w:pPr>
        <w:spacing w:after="80" w:before="80"/>
        <w:jc w:val="center"/>
      </w:pPr>
      <w:r>
        <w:rPr>
          <w:rFonts w:ascii="Arial" w:cs="Arial" w:eastAsia="Arial" w:hAnsi="Arial"/>
          <w:color w:val="595959"/>
          <w:sz w:val="28"/>
          <w:szCs w:val="28"/>
        </w:rPr>
        <w:t xml:space="preserve">Final Business Recommendations &amp; Project Conclusions</w:t>
      </w:r>
    </w:p>
    <w:p>
      <w:pPr>
        <w:spacing w:after="60" w:before="60"/>
      </w:pPr>
      <w:r>
        <w:t xml:space="preserve"/>
      </w:r>
    </w:p>
    <w:p>
      <w:pPr>
        <w:pBdr>
          <w:bottom w:val="single" w:color="C9A84C" w:sz="8"/>
        </w:pBdr>
        <w:spacing w:after="200" w:before="200"/>
        <w:jc w:val="center"/>
      </w:pPr>
      <w:r>
        <w:t xml:space="preserve"/>
      </w:r>
    </w:p>
    <w:p>
      <w:pPr>
        <w:spacing w:after="60" w:before="60"/>
      </w:pPr>
      <w:r>
        <w:t xml:space="preserve"/>
      </w:r>
    </w:p>
    <w:p>
      <w:pPr>
        <w:spacing w:after="60" w:before="100"/>
        <w:jc w:val="center"/>
      </w:pPr>
      <w:r>
        <w:rPr>
          <w:rFonts w:ascii="Arial" w:cs="Arial" w:eastAsia="Arial" w:hAnsi="Arial"/>
          <w:i/>
          <w:iCs/>
          <w:color w:val="595959"/>
          <w:sz w:val="24"/>
          <w:szCs w:val="24"/>
        </w:rPr>
        <w:t xml:space="preserve">CodeBasics Data Challenge — RPC18</w:t>
      </w:r>
    </w:p>
    <w:p>
      <w:pPr>
        <w:spacing w:after="60" w:before="60"/>
        <w:jc w:val="center"/>
      </w:pPr>
      <w:r>
        <w:rPr>
          <w:rFonts w:ascii="Arial" w:cs="Arial" w:eastAsia="Arial" w:hAnsi="Arial"/>
          <w:color w:val="595959"/>
          <w:sz w:val="22"/>
          <w:szCs w:val="22"/>
        </w:rPr>
        <w:t xml:space="preserve">June 2025</w:t>
      </w:r>
    </w:p>
    <w:p>
      <w:r>
        <w:br/>
      </w:r>
    </w:p>
    <w:p>
      <w:pPr>
        <w:pStyle w:val="Heading1"/>
        <w:spacing w:after="120" w:before="300"/>
      </w:pPr>
      <w:r>
        <w:rPr>
          <w:rFonts w:ascii="Arial" w:cs="Arial" w:eastAsia="Arial" w:hAnsi="Arial"/>
          <w:b/>
          <w:bCs/>
          <w:color w:val="1F3864"/>
          <w:sz w:val="36"/>
          <w:szCs w:val="36"/>
        </w:rPr>
        <w:t xml:space="preserve">Executive Summary</w:t>
      </w:r>
    </w:p>
    <w:p>
      <w:pPr>
        <w:pBdr>
          <w:bottom w:val="single" w:color="2E75B6" w:sz="6"/>
        </w:pBdr>
        <w:spacing w:after="120" w:before="120"/>
      </w:pPr>
      <w:r>
        <w:t xml:space="preserve"/>
      </w:r>
    </w:p>
    <w:p>
      <w:pPr>
        <w:spacing w:after="60" w:before="60"/>
      </w:pPr>
      <w:r>
        <w:rPr>
          <w:rFonts w:ascii="Arial" w:cs="Arial" w:eastAsia="Arial" w:hAnsi="Arial"/>
          <w:color w:val="000000"/>
          <w:sz w:val="22"/>
          <w:szCs w:val="22"/>
        </w:rPr>
        <w:t xml:space="preserve">QuickBite Express faced a compound crisis in 2025: a viral food safety incident coinciding with a week-long monsoon delivery outage triggered mass customer disengagement, sharp order decline, and partner restaurant defections to competing platforms. This analytics project dissected customer behaviour, delivery operations, restaurant partnerships, and customer sentiment across pre-crisis, crisis, and recovery phases to surface data-driven recovery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CE4D6" w:val="clear"/>
            <w:tcMar>
              <w:top w:type="dxa" w:w="120"/>
              <w:left w:type="dxa" w:w="140"/>
              <w:bottom w:type="dxa" w:w="120"/>
              <w:right w:type="dxa" w:w="140"/>
            </w:tcMar>
          </w:tcPr>
          <w:p>
            <w:pPr>
              <w:jc w:val="center"/>
            </w:pPr>
            <w:r>
              <w:rPr>
                <w:rFonts w:ascii="Arial" w:cs="Arial" w:eastAsia="Arial" w:hAnsi="Arial"/>
                <w:b/>
                <w:bCs/>
                <w:color w:val="C00000"/>
                <w:sz w:val="28"/>
                <w:szCs w:val="28"/>
              </w:rPr>
              <w:t xml:space="preserve">4.51 → 3.04</w:t>
            </w:r>
          </w:p>
          <w:p>
            <w:pPr>
              <w:jc w:val="center"/>
            </w:pPr>
            <w:r>
              <w:rPr>
                <w:rFonts w:ascii="Arial" w:cs="Arial" w:eastAsia="Arial" w:hAnsi="Arial"/>
                <w:color w:val="595959"/>
                <w:sz w:val="18"/>
                <w:szCs w:val="18"/>
              </w:rPr>
              <w:t xml:space="preserve">Ratings Dropped</w:t>
            </w:r>
          </w:p>
        </w:tc>
        <w:tc>
          <w:tcPr>
            <w:tcW w:type="dxa" w:w="2340"/>
            <w:tcBorders>
              <w:top w:val="none" w:color="FFFFFF" w:sz="0"/>
              <w:left w:val="none" w:color="FFFFFF" w:sz="0"/>
              <w:bottom w:val="none" w:color="FFFFFF" w:sz="0"/>
              <w:right w:val="none" w:color="FFFFFF" w:sz="0"/>
            </w:tcBorders>
            <w:shd w:fill="FCE4D6" w:val="clear"/>
            <w:tcMar>
              <w:top w:type="dxa" w:w="120"/>
              <w:left w:type="dxa" w:w="140"/>
              <w:bottom w:type="dxa" w:w="120"/>
              <w:right w:type="dxa" w:w="140"/>
            </w:tcMar>
          </w:tcPr>
          <w:p>
            <w:pPr>
              <w:jc w:val="center"/>
            </w:pPr>
            <w:r>
              <w:rPr>
                <w:rFonts w:ascii="Arial" w:cs="Arial" w:eastAsia="Arial" w:hAnsi="Arial"/>
                <w:b/>
                <w:bCs/>
                <w:color w:val="C00000"/>
                <w:sz w:val="28"/>
                <w:szCs w:val="28"/>
              </w:rPr>
              <w:t xml:space="preserve">39.5 → 54.8 min</w:t>
            </w:r>
          </w:p>
          <w:p>
            <w:pPr>
              <w:jc w:val="center"/>
            </w:pPr>
            <w:r>
              <w:rPr>
                <w:rFonts w:ascii="Arial" w:cs="Arial" w:eastAsia="Arial" w:hAnsi="Arial"/>
                <w:color w:val="595959"/>
                <w:sz w:val="18"/>
                <w:szCs w:val="18"/>
              </w:rPr>
              <w:t xml:space="preserve">Delivery Time Up</w:t>
            </w:r>
          </w:p>
        </w:tc>
        <w:tc>
          <w:tcPr>
            <w:tcW w:type="dxa" w:w="2340"/>
            <w:tcBorders>
              <w:top w:val="none" w:color="FFFFFF" w:sz="0"/>
              <w:left w:val="none" w:color="FFFFFF" w:sz="0"/>
              <w:bottom w:val="none" w:color="FFFFFF" w:sz="0"/>
              <w:right w:val="none" w:color="FFFFFF" w:sz="0"/>
            </w:tcBorders>
            <w:shd w:fill="FCE4D6" w:val="clear"/>
            <w:tcMar>
              <w:top w:type="dxa" w:w="120"/>
              <w:left w:type="dxa" w:w="140"/>
              <w:bottom w:type="dxa" w:w="120"/>
              <w:right w:type="dxa" w:w="140"/>
            </w:tcMar>
          </w:tcPr>
          <w:p>
            <w:pPr>
              <w:jc w:val="center"/>
            </w:pPr>
            <w:r>
              <w:rPr>
                <w:rFonts w:ascii="Arial" w:cs="Arial" w:eastAsia="Arial" w:hAnsi="Arial"/>
                <w:b/>
                <w:bCs/>
                <w:color w:val="C00000"/>
                <w:sz w:val="28"/>
                <w:szCs w:val="28"/>
              </w:rPr>
              <w:t xml:space="preserve">~50%+ during crisis</w:t>
            </w:r>
          </w:p>
          <w:p>
            <w:pPr>
              <w:jc w:val="center"/>
            </w:pPr>
            <w:r>
              <w:rPr>
                <w:rFonts w:ascii="Arial" w:cs="Arial" w:eastAsia="Arial" w:hAnsi="Arial"/>
                <w:color w:val="595959"/>
                <w:sz w:val="18"/>
                <w:szCs w:val="18"/>
              </w:rPr>
              <w:t xml:space="preserve">SLA Breach Rate</w:t>
            </w:r>
          </w:p>
        </w:tc>
        <w:tc>
          <w:tcPr>
            <w:tcW w:type="dxa" w:w="2340"/>
            <w:tcBorders>
              <w:top w:val="none" w:color="FFFFFF" w:sz="0"/>
              <w:left w:val="none" w:color="FFFFFF" w:sz="0"/>
              <w:bottom w:val="none" w:color="FFFFFF" w:sz="0"/>
              <w:right w:val="none" w:color="FFFFFF" w:sz="0"/>
            </w:tcBorders>
            <w:shd w:fill="FCE4D6" w:val="clear"/>
            <w:tcMar>
              <w:top w:type="dxa" w:w="120"/>
              <w:left w:type="dxa" w:w="140"/>
              <w:bottom w:type="dxa" w:w="120"/>
              <w:right w:type="dxa" w:w="140"/>
            </w:tcMar>
          </w:tcPr>
          <w:p>
            <w:pPr>
              <w:jc w:val="center"/>
            </w:pPr>
            <w:r>
              <w:rPr>
                <w:rFonts w:ascii="Arial" w:cs="Arial" w:eastAsia="Arial" w:hAnsi="Arial"/>
                <w:b/>
                <w:bCs/>
                <w:color w:val="C00000"/>
                <w:sz w:val="28"/>
                <w:szCs w:val="28"/>
              </w:rPr>
              <w:t xml:space="preserve">91.6% cancel rate</w:t>
            </w:r>
          </w:p>
          <w:p>
            <w:pPr>
              <w:jc w:val="center"/>
            </w:pPr>
            <w:r>
              <w:rPr>
                <w:rFonts w:ascii="Arial" w:cs="Arial" w:eastAsia="Arial" w:hAnsi="Arial"/>
                <w:color w:val="595959"/>
                <w:sz w:val="18"/>
                <w:szCs w:val="18"/>
              </w:rPr>
              <w:t xml:space="preserve">Churn-Risk Cluster</w:t>
            </w:r>
          </w:p>
        </w:tc>
      </w:tr>
    </w:tbl>
    <w:p>
      <w:pPr>
        <w:spacing w:after="60" w:before="60"/>
      </w:pPr>
      <w:r>
        <w:t xml:space="preserve"/>
      </w:r>
    </w:p>
    <w:p>
      <w:pPr>
        <w:spacing w:after="60" w:before="60"/>
      </w:pPr>
      <w:r>
        <w:rPr>
          <w:rFonts w:ascii="Arial" w:cs="Arial" w:eastAsia="Arial" w:hAnsi="Arial"/>
          <w:color w:val="000000"/>
          <w:sz w:val="22"/>
          <w:szCs w:val="22"/>
        </w:rPr>
        <w:t xml:space="preserve">The analysis produced three customer segments, a churn prediction model, a revenue recovery simulation projecting meaningful incremental gain, and targeted recommendations across four business pillars: Customer Retention, Delivery Operations, Restaurant Partnerships, and Sentiment &amp; Trust Rebuilding.</w:t>
      </w:r>
    </w:p>
    <w:p>
      <w:r>
        <w:br/>
      </w:r>
    </w:p>
    <w:p>
      <w:pPr>
        <w:pStyle w:val="Heading1"/>
        <w:spacing w:after="120" w:before="300"/>
      </w:pPr>
      <w:r>
        <w:rPr>
          <w:rFonts w:ascii="Arial" w:cs="Arial" w:eastAsia="Arial" w:hAnsi="Arial"/>
          <w:b/>
          <w:bCs/>
          <w:color w:val="1F3864"/>
          <w:sz w:val="36"/>
          <w:szCs w:val="36"/>
        </w:rPr>
        <w:t xml:space="preserve">1. Key Findings from Analysis</w:t>
      </w:r>
    </w:p>
    <w:p>
      <w:pPr>
        <w:pBdr>
          <w:bottom w:val="single" w:color="2E75B6" w:sz="6"/>
        </w:pBdr>
        <w:spacing w:after="120" w:before="120"/>
      </w:pPr>
      <w:r>
        <w:t xml:space="preserve"/>
      </w:r>
    </w:p>
    <w:p>
      <w:pPr>
        <w:pStyle w:val="Heading2"/>
        <w:spacing w:after="100" w:before="240"/>
      </w:pPr>
      <w:r>
        <w:rPr>
          <w:rFonts w:ascii="Arial" w:cs="Arial" w:eastAsia="Arial" w:hAnsi="Arial"/>
          <w:b/>
          <w:bCs/>
          <w:color w:val="2E75B6"/>
          <w:sz w:val="28"/>
          <w:szCs w:val="28"/>
        </w:rPr>
        <w:t xml:space="preserve">1.1 Order &amp; Revenue Trends</w:t>
      </w:r>
    </w:p>
    <w:p>
      <w:pPr>
        <w:spacing w:after="60" w:before="60"/>
      </w:pPr>
      <w:r>
        <w:rPr>
          <w:rFonts w:ascii="Arial" w:cs="Arial" w:eastAsia="Arial" w:hAnsi="Arial"/>
          <w:color w:val="000000"/>
          <w:sz w:val="22"/>
          <w:szCs w:val="22"/>
        </w:rPr>
        <w:t xml:space="preserve">Daily and weekly order volumes collapsed during the crisis period (post May 15, 2025), confirmed by a sharp inflection in time-series plots. Monthly active user counts declined alongside new customer acquisition, signalling the crisis simultaneously eroded existing loyalty and deterred new joiners. Cash-on-delivery orders exhibited notably higher cancellation rates, indicating a payment-method-linked trust gap.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Pre-Crisis</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Crisis Period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Avg Delivery Time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39.52 min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54.79 min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Avg Customer Rating</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4.51 / 5</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3.04 / 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SLA Breach Rate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Baseline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Significantly elevated</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Cancellation Rate (Delayed)</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6.47%</w:t>
            </w:r>
          </w:p>
        </w:tc>
        <w:tc>
          <w:tcPr>
            <w:tcW w:type="dxa" w:w="31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8.01%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Cancellation Rate (COD)</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Higher vs. non-COD</w:t>
            </w:r>
          </w:p>
        </w:tc>
        <w:tc>
          <w:tcPr>
            <w:tcW w:type="dxa" w:w="3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Worsened during crisis</w:t>
            </w:r>
          </w:p>
        </w:tc>
      </w:tr>
    </w:tbl>
    <w:p>
      <w:pPr>
        <w:spacing w:after="60" w:before="60"/>
      </w:pPr>
      <w:r>
        <w:t xml:space="preserve"/>
      </w:r>
    </w:p>
    <w:p>
      <w:pPr>
        <w:pStyle w:val="Heading2"/>
        <w:spacing w:after="100" w:before="240"/>
      </w:pPr>
      <w:r>
        <w:rPr>
          <w:rFonts w:ascii="Arial" w:cs="Arial" w:eastAsia="Arial" w:hAnsi="Arial"/>
          <w:b/>
          <w:bCs/>
          <w:color w:val="2E75B6"/>
          <w:sz w:val="28"/>
          <w:szCs w:val="28"/>
        </w:rPr>
        <w:t xml:space="preserve">1.2 Delivery Performance</w:t>
      </w:r>
    </w:p>
    <w:p>
      <w:pPr>
        <w:spacing w:after="60" w:before="60"/>
      </w:pPr>
      <w:r>
        <w:rPr>
          <w:rFonts w:ascii="Arial" w:cs="Arial" w:eastAsia="Arial" w:hAnsi="Arial"/>
          <w:color w:val="000000"/>
          <w:sz w:val="22"/>
          <w:szCs w:val="22"/>
        </w:rPr>
        <w:t xml:space="preserve">Statistical testing (Welch's T-Test: t = -208.31, p &lt; 0.0001) confirmed delivery times worsened dramatically during the crisis — not by chance. A Chi-Square test confirmed delayed orders drove significantly higher cancellation rates. Spearman correlation (r = -0.33, p &lt; 0.0001) established a moderate but statistically significant negative relationship between delivery delays and customer ratings: as delays increase, ratings fall.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Statistical Test Results</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T-Test (Delivery Time Pre vs Crisis): t = -208.31, p &lt; 0.0001 — Highly Significant</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T-Test (Ratings Pre vs Crisis): t = large positive, p &lt; 0.0001 — Highly Significant</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Chi-Square (Delay vs Cancellation): p &lt; 0.0001 — Significant association confirmed</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Spearman Correlation (Delay vs Rating): r = -0.3256, p &lt; 0.0001 — Moderate negative relationship</w:t>
            </w:r>
          </w:p>
        </w:tc>
      </w:tr>
    </w:tbl>
    <w:p>
      <w:pPr>
        <w:spacing w:after="60" w:before="60"/>
      </w:pPr>
      <w:r>
        <w:t xml:space="preserve"/>
      </w:r>
    </w:p>
    <w:p>
      <w:pPr>
        <w:pStyle w:val="Heading2"/>
        <w:spacing w:after="100" w:before="240"/>
      </w:pPr>
      <w:r>
        <w:rPr>
          <w:rFonts w:ascii="Arial" w:cs="Arial" w:eastAsia="Arial" w:hAnsi="Arial"/>
          <w:b/>
          <w:bCs/>
          <w:color w:val="2E75B6"/>
          <w:sz w:val="28"/>
          <w:szCs w:val="28"/>
        </w:rPr>
        <w:t xml:space="preserve">1.3 Customer Segmentation (K-Means, k=3)</w:t>
      </w:r>
    </w:p>
    <w:p>
      <w:pPr>
        <w:spacing w:after="60" w:before="60"/>
      </w:pPr>
      <w:r>
        <w:rPr>
          <w:rFonts w:ascii="Arial" w:cs="Arial" w:eastAsia="Arial" w:hAnsi="Arial"/>
          <w:color w:val="000000"/>
          <w:sz w:val="22"/>
          <w:szCs w:val="22"/>
        </w:rPr>
        <w:t xml:space="preserve">The elbow method confirmed three distinct customer clusters. Each segment requires a fundamentally different recovery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Characteristics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Strategic Priority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Cluster 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Premium Loyal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High spend (₹766 avg), low cancel (5.69%), best ratings (3.13)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Retain &amp; Reward</w:t>
            </w:r>
          </w:p>
        </w:tc>
      </w:tr>
      <w:tr>
        <w:tc>
          <w:tcPr>
            <w:tcW w:type="dxa" w:w="1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Cluster 1</w:t>
            </w:r>
          </w:p>
        </w:tc>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Churn-Risk / Problematic</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91.6% cancel rate, rating near 0, highest delays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Re-engage or Accept Loss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Cluster 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Casual / Inactive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Few orders, long recency, moderate spend, not actively unhappy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Win-Back Campaigns</w:t>
            </w:r>
          </w:p>
        </w:tc>
      </w:tr>
    </w:tbl>
    <w:p>
      <w:pPr>
        <w:spacing w:after="60" w:before="60"/>
      </w:pPr>
      <w:r>
        <w:t xml:space="preserve"/>
      </w:r>
    </w:p>
    <w:p>
      <w:pPr>
        <w:pStyle w:val="Heading2"/>
        <w:spacing w:after="100" w:before="240"/>
      </w:pPr>
      <w:r>
        <w:rPr>
          <w:rFonts w:ascii="Arial" w:cs="Arial" w:eastAsia="Arial" w:hAnsi="Arial"/>
          <w:b/>
          <w:bCs/>
          <w:color w:val="2E75B6"/>
          <w:sz w:val="28"/>
          <w:szCs w:val="28"/>
        </w:rPr>
        <w:t xml:space="preserve">1.4 Churn Prediction Model (Random Forest Classifier)</w:t>
      </w:r>
    </w:p>
    <w:p>
      <w:pPr>
        <w:spacing w:after="60" w:before="60"/>
      </w:pPr>
      <w:r>
        <w:rPr>
          <w:rFonts w:ascii="Arial" w:cs="Arial" w:eastAsia="Arial" w:hAnsi="Arial"/>
          <w:color w:val="000000"/>
          <w:sz w:val="22"/>
          <w:szCs w:val="22"/>
        </w:rPr>
        <w:t xml:space="preserve">A Random Forest Classifier was trained on 11 behavioral features to predict customer churn (defined as inactivity &gt;90 days). GridSearchCV with 3-fold CV was used for hyperparameter tuning optimising for F1 score. The model achieved strong performance on both training and test sets, with class_weight='balanced' addressing churn class imbalance.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Top Churn Prediction Features (by Importance)</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1. Days Since Last Order — strongest signal of disengagement</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2. Order Frequency — low frequency strongly predicts churn</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3. Active Months — customers active fewer months are higher churn risk</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4. Customer Cancel Rate — high past cancellation predicts future churn</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5. Average Delivery Delay — poor delivery experience accelerates churn</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6. Favourite Restaurant Ratio — low brand affinity correlates with churn</w:t>
            </w:r>
          </w:p>
        </w:tc>
      </w:tr>
    </w:tbl>
    <w:p>
      <w:pPr>
        <w:spacing w:after="60" w:before="60"/>
      </w:pPr>
      <w:r>
        <w:t xml:space="preserve"/>
      </w:r>
    </w:p>
    <w:p>
      <w:pPr>
        <w:pStyle w:val="Heading2"/>
        <w:spacing w:after="100" w:before="240"/>
      </w:pPr>
      <w:r>
        <w:rPr>
          <w:rFonts w:ascii="Arial" w:cs="Arial" w:eastAsia="Arial" w:hAnsi="Arial"/>
          <w:b/>
          <w:bCs/>
          <w:color w:val="2E75B6"/>
          <w:sz w:val="28"/>
          <w:szCs w:val="28"/>
        </w:rPr>
        <w:t xml:space="preserve">1.5 Revenue Driver Analysis (Random Forest Regressor)</w:t>
      </w:r>
    </w:p>
    <w:p>
      <w:pPr>
        <w:spacing w:after="60" w:before="60"/>
      </w:pPr>
      <w:r>
        <w:rPr>
          <w:rFonts w:ascii="Arial" w:cs="Arial" w:eastAsia="Arial" w:hAnsi="Arial"/>
          <w:color w:val="000000"/>
          <w:sz w:val="22"/>
          <w:szCs w:val="22"/>
        </w:rPr>
        <w:t xml:space="preserve">A Random Forest Regressor identified the top drivers of customer total spend. The model was tuned with GridSearchCV (R² scoring), revealing that engagement consistency — not single-order value — most strongly predicts lifetime revenue.</w:t>
      </w:r>
    </w:p>
    <w:p>
      <w:pPr>
        <w:pStyle w:val="ListParagraph"/>
        <w:numPr>
          <w:ilvl w:val="0"/>
          <w:numId w:val="2"/>
        </w:numPr>
        <w:spacing w:after="40" w:before="40"/>
      </w:pPr>
      <w:r>
        <w:rPr>
          <w:rFonts w:ascii="Arial" w:cs="Arial" w:eastAsia="Arial" w:hAnsi="Arial"/>
          <w:b w:val="false"/>
          <w:bCs w:val="false"/>
          <w:sz w:val="22"/>
          <w:szCs w:val="22"/>
        </w:rPr>
        <w:t xml:space="preserve">Order Frequency — #1 revenue driver; increasing order cadence has the highest ROI</w:t>
      </w:r>
    </w:p>
    <w:p>
      <w:pPr>
        <w:pStyle w:val="ListParagraph"/>
        <w:numPr>
          <w:ilvl w:val="0"/>
          <w:numId w:val="2"/>
        </w:numPr>
        <w:spacing w:after="40" w:before="40"/>
      </w:pPr>
      <w:r>
        <w:rPr>
          <w:rFonts w:ascii="Arial" w:cs="Arial" w:eastAsia="Arial" w:hAnsi="Arial"/>
          <w:b w:val="false"/>
          <w:bCs w:val="false"/>
          <w:sz w:val="22"/>
          <w:szCs w:val="22"/>
        </w:rPr>
        <w:t xml:space="preserve">Customer Tenure — longer-tenured customers spend significantly more</w:t>
      </w:r>
    </w:p>
    <w:p>
      <w:pPr>
        <w:pStyle w:val="ListParagraph"/>
        <w:numPr>
          <w:ilvl w:val="0"/>
          <w:numId w:val="2"/>
        </w:numPr>
        <w:spacing w:after="40" w:before="40"/>
      </w:pPr>
      <w:r>
        <w:rPr>
          <w:rFonts w:ascii="Arial" w:cs="Arial" w:eastAsia="Arial" w:hAnsi="Arial"/>
          <w:b w:val="false"/>
          <w:bCs w:val="false"/>
          <w:sz w:val="22"/>
          <w:szCs w:val="22"/>
        </w:rPr>
        <w:t xml:space="preserve">Active Months — engagement breadth is a strong spending predictor</w:t>
      </w:r>
    </w:p>
    <w:p>
      <w:pPr>
        <w:pStyle w:val="ListParagraph"/>
        <w:numPr>
          <w:ilvl w:val="0"/>
          <w:numId w:val="2"/>
        </w:numPr>
        <w:spacing w:after="40" w:before="40"/>
      </w:pPr>
      <w:r>
        <w:rPr>
          <w:rFonts w:ascii="Arial" w:cs="Arial" w:eastAsia="Arial" w:hAnsi="Arial"/>
          <w:b w:val="false"/>
          <w:bCs w:val="false"/>
          <w:sz w:val="22"/>
          <w:szCs w:val="22"/>
        </w:rPr>
        <w:t xml:space="preserve">Favourite Restaurant Ratio — loyalty to a preferred restaurant drives repeat spend</w:t>
      </w:r>
    </w:p>
    <w:p>
      <w:pPr>
        <w:pStyle w:val="ListParagraph"/>
        <w:numPr>
          <w:ilvl w:val="0"/>
          <w:numId w:val="2"/>
        </w:numPr>
        <w:spacing w:after="40" w:before="40"/>
      </w:pPr>
      <w:r>
        <w:rPr>
          <w:rFonts w:ascii="Arial" w:cs="Arial" w:eastAsia="Arial" w:hAnsi="Arial"/>
          <w:b w:val="false"/>
          <w:bCs w:val="false"/>
          <w:sz w:val="22"/>
          <w:szCs w:val="22"/>
        </w:rPr>
        <w:t xml:space="preserve">Average Delivery Delay — poor delivery reduces long-term spend</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1.6 Revenue Recovery Simulation</w:t>
      </w:r>
    </w:p>
    <w:p>
      <w:pPr>
        <w:spacing w:after="60" w:before="60"/>
      </w:pPr>
      <w:r>
        <w:rPr>
          <w:rFonts w:ascii="Arial" w:cs="Arial" w:eastAsia="Arial" w:hAnsi="Arial"/>
          <w:color w:val="000000"/>
          <w:sz w:val="22"/>
          <w:szCs w:val="22"/>
        </w:rPr>
        <w:t xml:space="preserve">The simulation modelled recovery scenarios by adjusting key behavioural levers on crisis-period customer data and applying the trained revenue model. Under the following recovery assumptions:</w:t>
      </w:r>
    </w:p>
    <w:p>
      <w:pPr>
        <w:pStyle w:val="ListParagraph"/>
        <w:numPr>
          <w:ilvl w:val="0"/>
          <w:numId w:val="2"/>
        </w:numPr>
        <w:spacing w:after="40" w:before="40"/>
      </w:pPr>
      <w:r>
        <w:rPr>
          <w:rFonts w:ascii="Arial" w:cs="Arial" w:eastAsia="Arial" w:hAnsi="Arial"/>
          <w:b w:val="false"/>
          <w:bCs w:val="false"/>
          <w:sz w:val="22"/>
          <w:szCs w:val="22"/>
        </w:rPr>
        <w:t xml:space="preserve">+20% improvement in order frequency</w:t>
      </w:r>
    </w:p>
    <w:p>
      <w:pPr>
        <w:pStyle w:val="ListParagraph"/>
        <w:numPr>
          <w:ilvl w:val="0"/>
          <w:numId w:val="2"/>
        </w:numPr>
        <w:spacing w:after="40" w:before="40"/>
      </w:pPr>
      <w:r>
        <w:rPr>
          <w:rFonts w:ascii="Arial" w:cs="Arial" w:eastAsia="Arial" w:hAnsi="Arial"/>
          <w:b w:val="false"/>
          <w:bCs w:val="false"/>
          <w:sz w:val="22"/>
          <w:szCs w:val="22"/>
        </w:rPr>
        <w:t xml:space="preserve">+10% improvement in favourite restaurant ratio</w:t>
      </w:r>
    </w:p>
    <w:p>
      <w:pPr>
        <w:pStyle w:val="ListParagraph"/>
        <w:numPr>
          <w:ilvl w:val="0"/>
          <w:numId w:val="2"/>
        </w:numPr>
        <w:spacing w:after="40" w:before="40"/>
      </w:pPr>
      <w:r>
        <w:rPr>
          <w:rFonts w:ascii="Arial" w:cs="Arial" w:eastAsia="Arial" w:hAnsi="Arial"/>
          <w:b w:val="false"/>
          <w:bCs w:val="false"/>
          <w:sz w:val="22"/>
          <w:szCs w:val="22"/>
        </w:rPr>
        <w:t xml:space="preserve">-30% reduction in cancellation rate</w:t>
      </w:r>
    </w:p>
    <w:p>
      <w:pPr>
        <w:pStyle w:val="ListParagraph"/>
        <w:numPr>
          <w:ilvl w:val="0"/>
          <w:numId w:val="2"/>
        </w:numPr>
        <w:spacing w:after="40" w:before="40"/>
      </w:pPr>
      <w:r>
        <w:rPr>
          <w:rFonts w:ascii="Arial" w:cs="Arial" w:eastAsia="Arial" w:hAnsi="Arial"/>
          <w:b w:val="false"/>
          <w:bCs w:val="false"/>
          <w:sz w:val="22"/>
          <w:szCs w:val="22"/>
        </w:rPr>
        <w:t xml:space="preserve">+20% increase in active months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sz w:val="22"/>
                <w:szCs w:val="22"/>
              </w:rPr>
              <w:t xml:space="preserve">Baseline Crisis Revenue</w:t>
            </w:r>
          </w:p>
          <w:p>
            <w:pPr>
              <w:jc w:val="center"/>
            </w:pPr>
            <w:r>
              <w:rPr>
                <w:rFonts w:ascii="Arial" w:cs="Arial" w:eastAsia="Arial" w:hAnsi="Arial"/>
                <w:b/>
                <w:bCs/>
                <w:color w:val="C00000"/>
                <w:sz w:val="26"/>
                <w:szCs w:val="26"/>
              </w:rPr>
              <w:t xml:space="preserve">₹2,684,805</w:t>
            </w:r>
          </w:p>
        </w:tc>
        <w:tc>
          <w:tcPr>
            <w:tcW w:type="dxa" w:w="312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sz w:val="22"/>
                <w:szCs w:val="22"/>
              </w:rPr>
              <w:t xml:space="preserve">Projected Recovery Revenue</w:t>
            </w:r>
          </w:p>
          <w:p>
            <w:pPr>
              <w:jc w:val="center"/>
            </w:pPr>
            <w:r>
              <w:rPr>
                <w:rFonts w:ascii="Arial" w:cs="Arial" w:eastAsia="Arial" w:hAnsi="Arial"/>
                <w:b/>
                <w:bCs/>
                <w:color w:val="375623"/>
                <w:sz w:val="22"/>
                <w:szCs w:val="22"/>
              </w:rPr>
              <w:t xml:space="preserve">Model-Projected</w:t>
            </w:r>
          </w:p>
        </w:tc>
        <w:tc>
          <w:tcPr>
            <w:tcW w:type="dxa" w:w="3120"/>
            <w:tcBorders>
              <w:top w:val="single" w:color="CCCCCC" w:sz="1"/>
              <w:left w:val="single" w:color="CCCCCC" w:sz="1"/>
              <w:bottom w:val="single" w:color="CCCCCC" w:sz="1"/>
              <w:right w:val="single" w:color="CCCCCC" w:sz="1"/>
            </w:tcBorders>
            <w:shd w:fill="DDEEFF" w:val="clear"/>
            <w:tcMar>
              <w:top w:type="dxa" w:w="100"/>
              <w:left w:type="dxa" w:w="120"/>
              <w:bottom w:type="dxa" w:w="100"/>
              <w:right w:type="dxa" w:w="120"/>
            </w:tcMar>
          </w:tcPr>
          <w:p>
            <w:pPr>
              <w:jc w:val="center"/>
            </w:pPr>
            <w:r>
              <w:rPr>
                <w:rFonts w:ascii="Arial" w:cs="Arial" w:eastAsia="Arial" w:hAnsi="Arial"/>
                <w:b/>
                <w:bCs/>
                <w:sz w:val="22"/>
                <w:szCs w:val="22"/>
              </w:rPr>
              <w:t xml:space="preserve">Key Lever</w:t>
            </w:r>
          </w:p>
          <w:p>
            <w:pPr>
              <w:jc w:val="center"/>
            </w:pPr>
            <w:r>
              <w:rPr>
                <w:rFonts w:ascii="Arial" w:cs="Arial" w:eastAsia="Arial" w:hAnsi="Arial"/>
                <w:color w:val="2E75B6"/>
                <w:sz w:val="20"/>
                <w:szCs w:val="20"/>
              </w:rPr>
              <w:t xml:space="preserve">Order Frequency (+20%)</w:t>
            </w:r>
          </w:p>
        </w:tc>
      </w:tr>
    </w:tbl>
    <w:p>
      <w:r>
        <w:br/>
      </w:r>
    </w:p>
    <w:p>
      <w:pPr>
        <w:pStyle w:val="Heading1"/>
        <w:spacing w:after="120" w:before="300"/>
      </w:pPr>
      <w:r>
        <w:rPr>
          <w:rFonts w:ascii="Arial" w:cs="Arial" w:eastAsia="Arial" w:hAnsi="Arial"/>
          <w:b/>
          <w:bCs/>
          <w:color w:val="1F3864"/>
          <w:sz w:val="36"/>
          <w:szCs w:val="36"/>
        </w:rPr>
        <w:t xml:space="preserve">2. Final Business Recommendations</w:t>
      </w:r>
    </w:p>
    <w:p>
      <w:pPr>
        <w:pBdr>
          <w:bottom w:val="single" w:color="2E75B6" w:sz="6"/>
        </w:pBdr>
        <w:spacing w:after="120" w:before="120"/>
      </w:pPr>
      <w:r>
        <w:t xml:space="preserve"/>
      </w:r>
    </w:p>
    <w:p>
      <w:pPr>
        <w:pStyle w:val="Heading2"/>
        <w:spacing w:after="100" w:before="240"/>
      </w:pPr>
      <w:r>
        <w:rPr>
          <w:rFonts w:ascii="Arial" w:cs="Arial" w:eastAsia="Arial" w:hAnsi="Arial"/>
          <w:b/>
          <w:bCs/>
          <w:color w:val="2E75B6"/>
          <w:sz w:val="28"/>
          <w:szCs w:val="28"/>
        </w:rPr>
        <w:t xml:space="preserve">2.1 Customer Retention Strategy</w:t>
      </w:r>
    </w:p>
    <w:p>
      <w:pPr>
        <w:spacing w:after="60" w:before="60"/>
      </w:pPr>
      <w:r>
        <w:t xml:space="preserve"/>
      </w:r>
    </w:p>
    <w:p>
      <w:pPr>
        <w:spacing w:after="80" w:before="180"/>
      </w:pPr>
      <w:r>
        <w:rPr>
          <w:rFonts w:ascii="Arial" w:cs="Arial" w:eastAsia="Arial" w:hAnsi="Arial"/>
          <w:b/>
          <w:bCs/>
          <w:color w:val="006B6B"/>
          <w:sz w:val="24"/>
          <w:szCs w:val="24"/>
        </w:rPr>
        <w:t xml:space="preserve">Priority 1 — Protect and Reward Premium Loyal Customers (Cluster 0)</w:t>
      </w:r>
    </w:p>
    <w:p>
      <w:pPr>
        <w:spacing w:after="60" w:before="60"/>
      </w:pPr>
      <w:r>
        <w:rPr>
          <w:rFonts w:ascii="Arial" w:cs="Arial" w:eastAsia="Arial" w:hAnsi="Arial"/>
          <w:color w:val="000000"/>
          <w:sz w:val="22"/>
          <w:szCs w:val="22"/>
        </w:rPr>
        <w:t xml:space="preserve">These customers spent the most, cancelled least, and gave the best ratings despite the crisis. Losing them would be catastrophic for recovery. They should receive white-glove treatment immediately.</w:t>
      </w:r>
    </w:p>
    <w:p>
      <w:pPr>
        <w:pStyle w:val="ListParagraph"/>
        <w:numPr>
          <w:ilvl w:val="0"/>
          <w:numId w:val="2"/>
        </w:numPr>
        <w:spacing w:after="40" w:before="40"/>
      </w:pPr>
      <w:r>
        <w:rPr>
          <w:rFonts w:ascii="Arial" w:cs="Arial" w:eastAsia="Arial" w:hAnsi="Arial"/>
          <w:b w:val="false"/>
          <w:bCs w:val="false"/>
          <w:sz w:val="22"/>
          <w:szCs w:val="22"/>
        </w:rPr>
        <w:t xml:space="preserve">Launch an exclusive QuickBite Gold loyalty programme for Cluster 0 customers with priority delivery, early access to partner deals, and personalised offers based on their favourite restaurants and ordering history.</w:t>
      </w:r>
    </w:p>
    <w:p>
      <w:pPr>
        <w:pStyle w:val="ListParagraph"/>
        <w:numPr>
          <w:ilvl w:val="0"/>
          <w:numId w:val="2"/>
        </w:numPr>
        <w:spacing w:after="40" w:before="40"/>
      </w:pPr>
      <w:r>
        <w:rPr>
          <w:rFonts w:ascii="Arial" w:cs="Arial" w:eastAsia="Arial" w:hAnsi="Arial"/>
          <w:b w:val="false"/>
          <w:bCs w:val="false"/>
          <w:sz w:val="22"/>
          <w:szCs w:val="22"/>
        </w:rPr>
        <w:t xml:space="preserve">Send personalised apology communication from leadership acknowledging the crisis impact, with a tangible goodwill gesture (e.g., bonus credits or waived delivery fees for 30 days).</w:t>
      </w:r>
    </w:p>
    <w:p>
      <w:pPr>
        <w:pStyle w:val="ListParagraph"/>
        <w:numPr>
          <w:ilvl w:val="0"/>
          <w:numId w:val="2"/>
        </w:numPr>
        <w:spacing w:after="40" w:before="40"/>
      </w:pPr>
      <w:r>
        <w:rPr>
          <w:rFonts w:ascii="Arial" w:cs="Arial" w:eastAsia="Arial" w:hAnsi="Arial"/>
          <w:b w:val="false"/>
          <w:bCs w:val="false"/>
          <w:sz w:val="22"/>
          <w:szCs w:val="22"/>
        </w:rPr>
        <w:t xml:space="preserve">Assign dedicated account managers or a priority customer support queue to handle complaints from this segment faster than standard SLAs.</w:t>
      </w:r>
    </w:p>
    <w:p>
      <w:pPr>
        <w:pStyle w:val="ListParagraph"/>
        <w:numPr>
          <w:ilvl w:val="0"/>
          <w:numId w:val="2"/>
        </w:numPr>
        <w:spacing w:after="40" w:before="40"/>
      </w:pPr>
      <w:r>
        <w:rPr>
          <w:rFonts w:ascii="Arial" w:cs="Arial" w:eastAsia="Arial" w:hAnsi="Arial"/>
          <w:b w:val="false"/>
          <w:bCs w:val="false"/>
          <w:sz w:val="22"/>
          <w:szCs w:val="22"/>
        </w:rPr>
        <w:t xml:space="preserve">Use the churn model's output to identify any Cluster 0 customers with rising 'days since last order' scores, and trigger proactive re-engagement before they formally churn.</w:t>
      </w:r>
    </w:p>
    <w:p>
      <w:pPr>
        <w:spacing w:after="60" w:before="60"/>
      </w:pPr>
      <w:r>
        <w:t xml:space="preserve"/>
      </w:r>
    </w:p>
    <w:p>
      <w:pPr>
        <w:spacing w:after="80" w:before="180"/>
      </w:pPr>
      <w:r>
        <w:rPr>
          <w:rFonts w:ascii="Arial" w:cs="Arial" w:eastAsia="Arial" w:hAnsi="Arial"/>
          <w:b/>
          <w:bCs/>
          <w:color w:val="006B6B"/>
          <w:sz w:val="24"/>
          <w:szCs w:val="24"/>
        </w:rPr>
        <w:t xml:space="preserve">Priority 2 — Win Back Casual/Inactive Users (Cluster 2)</w:t>
      </w:r>
    </w:p>
    <w:p>
      <w:pPr>
        <w:spacing w:after="60" w:before="60"/>
      </w:pPr>
      <w:r>
        <w:rPr>
          <w:rFonts w:ascii="Arial" w:cs="Arial" w:eastAsia="Arial" w:hAnsi="Arial"/>
          <w:color w:val="000000"/>
          <w:sz w:val="22"/>
          <w:szCs w:val="22"/>
        </w:rPr>
        <w:t xml:space="preserve">These customers are not actively unhappy — they simply became disengaged. They represent recoverable revenue with relatively low intervention cost.</w:t>
      </w:r>
    </w:p>
    <w:p>
      <w:pPr>
        <w:pStyle w:val="ListParagraph"/>
        <w:numPr>
          <w:ilvl w:val="0"/>
          <w:numId w:val="2"/>
        </w:numPr>
        <w:spacing w:after="40" w:before="40"/>
      </w:pPr>
      <w:r>
        <w:rPr>
          <w:rFonts w:ascii="Arial" w:cs="Arial" w:eastAsia="Arial" w:hAnsi="Arial"/>
          <w:b w:val="false"/>
          <w:bCs w:val="false"/>
          <w:sz w:val="22"/>
          <w:szCs w:val="22"/>
        </w:rPr>
        <w:t xml:space="preserve">Deploy a time-limited win-back campaign: 'We've fixed the issues — here's 30% off your next 3 orders', targeting anyone with 60–90 days of inactivity.</w:t>
      </w:r>
    </w:p>
    <w:p>
      <w:pPr>
        <w:pStyle w:val="ListParagraph"/>
        <w:numPr>
          <w:ilvl w:val="0"/>
          <w:numId w:val="2"/>
        </w:numPr>
        <w:spacing w:after="40" w:before="40"/>
      </w:pPr>
      <w:r>
        <w:rPr>
          <w:rFonts w:ascii="Arial" w:cs="Arial" w:eastAsia="Arial" w:hAnsi="Arial"/>
          <w:b w:val="false"/>
          <w:bCs w:val="false"/>
          <w:sz w:val="22"/>
          <w:szCs w:val="22"/>
        </w:rPr>
        <w:t xml:space="preserve">Use preferred ordering hour and day data to send push notifications and emails at the customer's historically active time (e.g., Friday evenings for weekend orderers).</w:t>
      </w:r>
    </w:p>
    <w:p>
      <w:pPr>
        <w:pStyle w:val="ListParagraph"/>
        <w:numPr>
          <w:ilvl w:val="0"/>
          <w:numId w:val="2"/>
        </w:numPr>
        <w:spacing w:after="40" w:before="40"/>
      </w:pPr>
      <w:r>
        <w:rPr>
          <w:rFonts w:ascii="Arial" w:cs="Arial" w:eastAsia="Arial" w:hAnsi="Arial"/>
          <w:b w:val="false"/>
          <w:bCs w:val="false"/>
          <w:sz w:val="22"/>
          <w:szCs w:val="22"/>
        </w:rPr>
        <w:t xml:space="preserve">Personalise re-engagement with their favourite restaurant or cuisine category — 'Your favourite [Restaurant Name] is back on QuickBite with improved delivery!'</w:t>
      </w:r>
    </w:p>
    <w:p>
      <w:pPr>
        <w:pStyle w:val="ListParagraph"/>
        <w:numPr>
          <w:ilvl w:val="0"/>
          <w:numId w:val="2"/>
        </w:numPr>
        <w:spacing w:after="40" w:before="40"/>
      </w:pPr>
      <w:r>
        <w:rPr>
          <w:rFonts w:ascii="Arial" w:cs="Arial" w:eastAsia="Arial" w:hAnsi="Arial"/>
          <w:b w:val="false"/>
          <w:bCs w:val="false"/>
          <w:sz w:val="22"/>
          <w:szCs w:val="22"/>
        </w:rPr>
        <w:t xml:space="preserve">A/B test incentive types: discount vs. free delivery vs. bonus loyalty points, using acquisition channel data to match channel-appropriate messaging.</w:t>
      </w:r>
    </w:p>
    <w:p>
      <w:pPr>
        <w:spacing w:after="60" w:before="60"/>
      </w:pPr>
      <w:r>
        <w:t xml:space="preserve"/>
      </w:r>
    </w:p>
    <w:p>
      <w:pPr>
        <w:spacing w:after="80" w:before="180"/>
      </w:pPr>
      <w:r>
        <w:rPr>
          <w:rFonts w:ascii="Arial" w:cs="Arial" w:eastAsia="Arial" w:hAnsi="Arial"/>
          <w:b/>
          <w:bCs/>
          <w:color w:val="006B6B"/>
          <w:sz w:val="24"/>
          <w:szCs w:val="24"/>
        </w:rPr>
        <w:t xml:space="preserve">Priority 3 — Triage Churn-Risk Customers (Cluster 1)</w:t>
      </w:r>
    </w:p>
    <w:p>
      <w:pPr>
        <w:spacing w:after="60" w:before="60"/>
      </w:pPr>
      <w:r>
        <w:rPr>
          <w:rFonts w:ascii="Arial" w:cs="Arial" w:eastAsia="Arial" w:hAnsi="Arial"/>
          <w:color w:val="000000"/>
          <w:sz w:val="22"/>
          <w:szCs w:val="22"/>
        </w:rPr>
        <w:t xml:space="preserve">Cluster 1 customers had a 91.6% cancellation rate and near-zero ratings. They experienced the worst of the crisis. Some are genuinely lost; others may be salvageable.</w:t>
      </w:r>
    </w:p>
    <w:p>
      <w:pPr>
        <w:pStyle w:val="ListParagraph"/>
        <w:numPr>
          <w:ilvl w:val="0"/>
          <w:numId w:val="2"/>
        </w:numPr>
        <w:spacing w:after="40" w:before="40"/>
      </w:pPr>
      <w:r>
        <w:rPr>
          <w:rFonts w:ascii="Arial" w:cs="Arial" w:eastAsia="Arial" w:hAnsi="Arial"/>
          <w:b w:val="false"/>
          <w:bCs w:val="false"/>
          <w:sz w:val="22"/>
          <w:szCs w:val="22"/>
        </w:rPr>
        <w:t xml:space="preserve">Segment Cluster 1 further by crisis order ratio: customers who ordered even once during crisis showed some residual intent and should receive targeted recovery outreach.</w:t>
      </w:r>
    </w:p>
    <w:p>
      <w:pPr>
        <w:pStyle w:val="ListParagraph"/>
        <w:numPr>
          <w:ilvl w:val="0"/>
          <w:numId w:val="2"/>
        </w:numPr>
        <w:spacing w:after="40" w:before="40"/>
      </w:pPr>
      <w:r>
        <w:rPr>
          <w:rFonts w:ascii="Arial" w:cs="Arial" w:eastAsia="Arial" w:hAnsi="Arial"/>
          <w:b w:val="false"/>
          <w:bCs w:val="false"/>
          <w:sz w:val="22"/>
          <w:szCs w:val="22"/>
        </w:rPr>
        <w:t xml:space="preserve">For the highest-risk sub-segment, deploy a 'last chance' reactivation offer with maximum possible incentive. Track conversion; if response rate is below 5% within 4 weeks, accept churn and reallocate spend to Cluster 2.</w:t>
      </w:r>
    </w:p>
    <w:p>
      <w:pPr>
        <w:pStyle w:val="ListParagraph"/>
        <w:numPr>
          <w:ilvl w:val="0"/>
          <w:numId w:val="2"/>
        </w:numPr>
        <w:spacing w:after="40" w:before="40"/>
      </w:pPr>
      <w:r>
        <w:rPr>
          <w:rFonts w:ascii="Arial" w:cs="Arial" w:eastAsia="Arial" w:hAnsi="Arial"/>
          <w:b w:val="false"/>
          <w:bCs w:val="false"/>
          <w:sz w:val="22"/>
          <w:szCs w:val="22"/>
        </w:rPr>
        <w:t xml:space="preserve">Investigate whether Cluster 1 disproportionately used COD — if so, introduce COD-specific trust signals (e.g., 'Pay only when you're satisfied' guarantee with a partial refund policy).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Customer Retention KPIs to Track</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Monthly Churn Rate per Cluster — target &lt;5% for Cluster 0</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Win-back Conversion Rate from Cluster 2 campaigns — target &gt;15%</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NPS Score recovery — target return to pre-crisis baseline of 4.5+ avg rating within 6 months</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Days Since Last Order (rolling 30-day median) — should trend downward post-campaign</w:t>
            </w:r>
          </w:p>
        </w:tc>
      </w:tr>
    </w:tbl>
    <w:p>
      <w:r>
        <w:br/>
      </w:r>
    </w:p>
    <w:p>
      <w:pPr>
        <w:pStyle w:val="Heading2"/>
        <w:spacing w:after="100" w:before="240"/>
      </w:pPr>
      <w:r>
        <w:rPr>
          <w:rFonts w:ascii="Arial" w:cs="Arial" w:eastAsia="Arial" w:hAnsi="Arial"/>
          <w:b/>
          <w:bCs/>
          <w:color w:val="2E75B6"/>
          <w:sz w:val="28"/>
          <w:szCs w:val="28"/>
        </w:rPr>
        <w:t xml:space="preserve">2.2 Delivery Operations Improvement</w:t>
      </w:r>
    </w:p>
    <w:p>
      <w:pPr>
        <w:spacing w:after="60" w:before="60"/>
      </w:pPr>
      <w:r>
        <w:t xml:space="preserve"/>
      </w:r>
    </w:p>
    <w:p>
      <w:pPr>
        <w:spacing w:after="60" w:before="60"/>
      </w:pPr>
      <w:r>
        <w:rPr>
          <w:rFonts w:ascii="Arial" w:cs="Arial" w:eastAsia="Arial" w:hAnsi="Arial"/>
          <w:color w:val="000000"/>
          <w:sz w:val="22"/>
          <w:szCs w:val="22"/>
        </w:rPr>
        <w:t xml:space="preserve">Delivery time was the most statistically significant crisis factor. The jump from 39.5 to 54.8 minutes, combined with the confirmed delivery delay → cancellation → poor rating causal chain, means operational recovery is a prerequisite for customer recovery.</w:t>
      </w:r>
    </w:p>
    <w:p>
      <w:pPr>
        <w:spacing w:after="60" w:before="60"/>
      </w:pPr>
      <w:r>
        <w:t xml:space="preserve"/>
      </w:r>
    </w:p>
    <w:p>
      <w:pPr>
        <w:spacing w:after="80" w:before="180"/>
      </w:pPr>
      <w:r>
        <w:rPr>
          <w:rFonts w:ascii="Arial" w:cs="Arial" w:eastAsia="Arial" w:hAnsi="Arial"/>
          <w:b/>
          <w:bCs/>
          <w:color w:val="006B6B"/>
          <w:sz w:val="24"/>
          <w:szCs w:val="24"/>
        </w:rPr>
        <w:t xml:space="preserve">Delivery Partner Workforce</w:t>
      </w:r>
    </w:p>
    <w:p>
      <w:pPr>
        <w:pStyle w:val="ListParagraph"/>
        <w:numPr>
          <w:ilvl w:val="0"/>
          <w:numId w:val="2"/>
        </w:numPr>
        <w:spacing w:after="40" w:before="40"/>
      </w:pPr>
      <w:r>
        <w:rPr>
          <w:rFonts w:ascii="Arial" w:cs="Arial" w:eastAsia="Arial" w:hAnsi="Arial"/>
          <w:b w:val="false"/>
          <w:bCs w:val="false"/>
          <w:sz w:val="22"/>
          <w:szCs w:val="22"/>
        </w:rPr>
        <w:t xml:space="preserve">Immediately prioritise 'Star' tier partners (≥95% on-time, ≥4.5 rating) for high-demand time slots and premium customers. Introduce a performance bonus structure for partners maintaining Star status across 30 consecutive days.</w:t>
      </w:r>
    </w:p>
    <w:p>
      <w:pPr>
        <w:pStyle w:val="ListParagraph"/>
        <w:numPr>
          <w:ilvl w:val="0"/>
          <w:numId w:val="2"/>
        </w:numPr>
        <w:spacing w:after="40" w:before="40"/>
      </w:pPr>
      <w:r>
        <w:rPr>
          <w:rFonts w:ascii="Arial" w:cs="Arial" w:eastAsia="Arial" w:hAnsi="Arial"/>
          <w:b w:val="false"/>
          <w:bCs w:val="false"/>
          <w:sz w:val="22"/>
          <w:szCs w:val="22"/>
        </w:rPr>
        <w:t xml:space="preserve">Place 'Needs Improvement' tier partners (&lt; 80% on-time) on a structured Performance Improvement Plan with weekly reviews. Partners not improving within 45 days should be offboarded to protect platform SLAs.</w:t>
      </w:r>
    </w:p>
    <w:p>
      <w:pPr>
        <w:pStyle w:val="ListParagraph"/>
        <w:numPr>
          <w:ilvl w:val="0"/>
          <w:numId w:val="2"/>
        </w:numPr>
        <w:spacing w:after="40" w:before="40"/>
      </w:pPr>
      <w:r>
        <w:rPr>
          <w:rFonts w:ascii="Arial" w:cs="Arial" w:eastAsia="Arial" w:hAnsi="Arial"/>
          <w:b w:val="false"/>
          <w:bCs w:val="false"/>
          <w:sz w:val="22"/>
          <w:szCs w:val="22"/>
        </w:rPr>
        <w:t xml:space="preserve">Analyse vehicle type performance data: if motorcycles outperform bicycles on on-time delivery, reallocate order routing to prioritise motorcycle partners for orders with strict delivery windows.</w:t>
      </w:r>
    </w:p>
    <w:p>
      <w:pPr>
        <w:pStyle w:val="ListParagraph"/>
        <w:numPr>
          <w:ilvl w:val="0"/>
          <w:numId w:val="2"/>
        </w:numPr>
        <w:spacing w:after="40" w:before="40"/>
      </w:pPr>
      <w:r>
        <w:rPr>
          <w:rFonts w:ascii="Arial" w:cs="Arial" w:eastAsia="Arial" w:hAnsi="Arial"/>
          <w:b w:val="false"/>
          <w:bCs w:val="false"/>
          <w:sz w:val="22"/>
          <w:szCs w:val="22"/>
        </w:rPr>
        <w:t xml:space="preserve">City-level partner analysis revealed performance variance by city. Deploy additional partner capacity proactively in underperforming cities before demand peaks, not reactively after SLA breaches.</w:t>
      </w:r>
    </w:p>
    <w:p>
      <w:pPr>
        <w:spacing w:after="60" w:before="60"/>
      </w:pPr>
      <w:r>
        <w:t xml:space="preserve"/>
      </w:r>
    </w:p>
    <w:p>
      <w:pPr>
        <w:spacing w:after="80" w:before="180"/>
      </w:pPr>
      <w:r>
        <w:rPr>
          <w:rFonts w:ascii="Arial" w:cs="Arial" w:eastAsia="Arial" w:hAnsi="Arial"/>
          <w:b/>
          <w:bCs/>
          <w:color w:val="006B6B"/>
          <w:sz w:val="24"/>
          <w:szCs w:val="24"/>
        </w:rPr>
        <w:t xml:space="preserve">SLA &amp; Routing Intelligence</w:t>
      </w:r>
    </w:p>
    <w:p>
      <w:pPr>
        <w:pStyle w:val="ListParagraph"/>
        <w:numPr>
          <w:ilvl w:val="0"/>
          <w:numId w:val="2"/>
        </w:numPr>
        <w:spacing w:after="40" w:before="40"/>
      </w:pPr>
      <w:r>
        <w:rPr>
          <w:rFonts w:ascii="Arial" w:cs="Arial" w:eastAsia="Arial" w:hAnsi="Arial"/>
          <w:b w:val="false"/>
          <w:bCs w:val="false"/>
          <w:sz w:val="22"/>
          <w:szCs w:val="22"/>
        </w:rPr>
        <w:t xml:space="preserve">Implement dynamic SLA setting: instead of fixed expected delivery windows, use historical distance + prep time + partner on-time rate to set realistic, customer-visible ETAs. Underpromise slightly to recover rating scores.</w:t>
      </w:r>
    </w:p>
    <w:p>
      <w:pPr>
        <w:pStyle w:val="ListParagraph"/>
        <w:numPr>
          <w:ilvl w:val="0"/>
          <w:numId w:val="2"/>
        </w:numPr>
        <w:spacing w:after="40" w:before="40"/>
      </w:pPr>
      <w:r>
        <w:rPr>
          <w:rFonts w:ascii="Arial" w:cs="Arial" w:eastAsia="Arial" w:hAnsi="Arial"/>
          <w:b w:val="false"/>
          <w:bCs w:val="false"/>
          <w:sz w:val="22"/>
          <w:szCs w:val="22"/>
        </w:rPr>
        <w:t xml:space="preserve">Introduce a 'severe delay alert' system — when delivery delay exceeds 15 minutes vs. ETA, automatically notify the customer with an update and trigger a partial credit. This reduces cancellations from frustrated customers who cancel due to silence.</w:t>
      </w:r>
    </w:p>
    <w:p>
      <w:pPr>
        <w:pStyle w:val="ListParagraph"/>
        <w:numPr>
          <w:ilvl w:val="0"/>
          <w:numId w:val="2"/>
        </w:numPr>
        <w:spacing w:after="40" w:before="40"/>
      </w:pPr>
      <w:r>
        <w:rPr>
          <w:rFonts w:ascii="Arial" w:cs="Arial" w:eastAsia="Arial" w:hAnsi="Arial"/>
          <w:b w:val="false"/>
          <w:bCs w:val="false"/>
          <w:sz w:val="22"/>
          <w:szCs w:val="22"/>
        </w:rPr>
        <w:t xml:space="preserve">Analyse the correlation between delivery distance and delay. If distances &gt; X km are driving most SLA breaches, introduce distance-based surge pricing or restrict long-distance delivery during peak monsoon/weather windows.</w:t>
      </w:r>
    </w:p>
    <w:p>
      <w:pPr>
        <w:spacing w:after="60" w:before="60"/>
      </w:pPr>
      <w:r>
        <w:t xml:space="preserve"/>
      </w:r>
    </w:p>
    <w:p>
      <w:pPr>
        <w:spacing w:after="80" w:before="180"/>
      </w:pPr>
      <w:r>
        <w:rPr>
          <w:rFonts w:ascii="Arial" w:cs="Arial" w:eastAsia="Arial" w:hAnsi="Arial"/>
          <w:b/>
          <w:bCs/>
          <w:color w:val="006B6B"/>
          <w:sz w:val="24"/>
          <w:szCs w:val="24"/>
        </w:rPr>
        <w:t xml:space="preserve">Monsoon &amp; Crisis Preparedness</w:t>
      </w:r>
    </w:p>
    <w:p>
      <w:pPr>
        <w:pStyle w:val="ListParagraph"/>
        <w:numPr>
          <w:ilvl w:val="0"/>
          <w:numId w:val="2"/>
        </w:numPr>
        <w:spacing w:after="40" w:before="40"/>
      </w:pPr>
      <w:r>
        <w:rPr>
          <w:rFonts w:ascii="Arial" w:cs="Arial" w:eastAsia="Arial" w:hAnsi="Arial"/>
          <w:b w:val="false"/>
          <w:bCs w:val="false"/>
          <w:sz w:val="22"/>
          <w:szCs w:val="22"/>
        </w:rPr>
        <w:t xml:space="preserve">Build a monsoon operations protocol: pre-assign backup delivery partner pools in weather-affected zones, negotiate pre-crisis restaurant order commitments, and deploy a visible 'weather delay' notice on the app to set customer expectations proactively.</w:t>
      </w:r>
    </w:p>
    <w:p>
      <w:pPr>
        <w:pStyle w:val="ListParagraph"/>
        <w:numPr>
          <w:ilvl w:val="0"/>
          <w:numId w:val="2"/>
        </w:numPr>
        <w:spacing w:after="40" w:before="40"/>
      </w:pPr>
      <w:r>
        <w:rPr>
          <w:rFonts w:ascii="Arial" w:cs="Arial" w:eastAsia="Arial" w:hAnsi="Arial"/>
          <w:b w:val="false"/>
          <w:bCs w:val="false"/>
          <w:sz w:val="22"/>
          <w:szCs w:val="22"/>
        </w:rPr>
        <w:t xml:space="preserve">Establish a Crisis Command Dashboard with real-time SLA breach rate, cancellation rate, and average delivery time — enabling operations managers to intervene before metrics breach thresholds.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Delivery Operations KPIs to Track</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Average Delivery Time — target return to ≤40 minutes within Q3</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SLA Breach Rate — target below pre-crisis baseline</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Cancellation Rate for Delayed Orders — target reduction from 8.01% to below 5%</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Partner On-Time % — Star tier partners handling ≥60% of total volume</w:t>
            </w:r>
          </w:p>
        </w:tc>
      </w:tr>
      <w:tr>
        <w:tc>
          <w:tcPr>
            <w:tcW w:type="dxa" w:w="9360"/>
            <w:tcBorders>
              <w:top w:val="none" w:color="FFFFFF" w:sz="0"/>
              <w:left w:val="none" w:color="FFFFFF" w:sz="0"/>
              <w:bottom w:val="none" w:color="FFFFFF" w:sz="0"/>
              <w:right w:val="none" w:color="FFFFFF" w:sz="0"/>
            </w:tcBorders>
            <w:shd w:fill="DDEEFF" w:val="clear"/>
            <w:tcMar>
              <w:top w:type="dxa" w:w="80"/>
              <w:left w:type="dxa" w:w="200"/>
              <w:bottom w:type="dxa" w:w="80"/>
              <w:right w:type="dxa" w:w="160"/>
            </w:tcMar>
          </w:tcPr>
          <w:p>
            <w:r>
              <w:rPr>
                <w:rFonts w:ascii="Arial" w:cs="Arial" w:eastAsia="Arial" w:hAnsi="Arial"/>
                <w:color w:val="000000"/>
                <w:sz w:val="22"/>
                <w:szCs w:val="22"/>
              </w:rPr>
              <w:t xml:space="preserve">• Severe Delay Count per Week — should trend to near-zero</w:t>
            </w:r>
          </w:p>
        </w:tc>
      </w:tr>
    </w:tbl>
    <w:p>
      <w:r>
        <w:br/>
      </w:r>
    </w:p>
    <w:p>
      <w:pPr>
        <w:pStyle w:val="Heading2"/>
        <w:spacing w:after="100" w:before="240"/>
      </w:pPr>
      <w:r>
        <w:rPr>
          <w:rFonts w:ascii="Arial" w:cs="Arial" w:eastAsia="Arial" w:hAnsi="Arial"/>
          <w:b/>
          <w:bCs/>
          <w:color w:val="2E75B6"/>
          <w:sz w:val="28"/>
          <w:szCs w:val="28"/>
        </w:rPr>
        <w:t xml:space="preserve">2.3 Restaurant Partnership Strategy</w:t>
      </w:r>
    </w:p>
    <w:p>
      <w:pPr>
        <w:spacing w:after="60" w:before="60"/>
      </w:pPr>
      <w:r>
        <w:t xml:space="preserve"/>
      </w:r>
    </w:p>
    <w:p>
      <w:pPr>
        <w:spacing w:after="60" w:before="60"/>
      </w:pPr>
      <w:r>
        <w:rPr>
          <w:rFonts w:ascii="Arial" w:cs="Arial" w:eastAsia="Arial" w:hAnsi="Arial"/>
          <w:color w:val="000000"/>
          <w:sz w:val="22"/>
          <w:szCs w:val="22"/>
        </w:rPr>
        <w:t xml:space="preserve">Partner restaurant defection to competing platforms during the crisis represents a structural revenue risk. The restaurant intelligence module identified clear performance tiers, enabling a differentiated partnership strategy.</w:t>
      </w:r>
    </w:p>
    <w:p>
      <w:pPr>
        <w:spacing w:after="60" w:before="60"/>
      </w:pPr>
      <w:r>
        <w:t xml:space="preserve"/>
      </w:r>
    </w:p>
    <w:p>
      <w:pPr>
        <w:spacing w:after="80" w:before="180"/>
      </w:pPr>
      <w:r>
        <w:rPr>
          <w:rFonts w:ascii="Arial" w:cs="Arial" w:eastAsia="Arial" w:hAnsi="Arial"/>
          <w:b/>
          <w:bCs/>
          <w:color w:val="006B6B"/>
          <w:sz w:val="24"/>
          <w:szCs w:val="24"/>
        </w:rPr>
        <w:t xml:space="preserve">Elite &amp; High-Tier Restaurant Retention</w:t>
      </w:r>
    </w:p>
    <w:p>
      <w:pPr>
        <w:pStyle w:val="ListParagraph"/>
        <w:numPr>
          <w:ilvl w:val="0"/>
          <w:numId w:val="2"/>
        </w:numPr>
        <w:spacing w:after="40" w:before="40"/>
      </w:pPr>
      <w:r>
        <w:rPr>
          <w:rFonts w:ascii="Arial" w:cs="Arial" w:eastAsia="Arial" w:hAnsi="Arial"/>
          <w:b w:val="false"/>
          <w:bCs w:val="false"/>
          <w:sz w:val="22"/>
          <w:szCs w:val="22"/>
        </w:rPr>
        <w:t xml:space="preserve">Offer Elite tier restaurants (revenue &gt; ₹5,000) exclusive partnership benefits: reduced commission rates for a 6-month recovery period, co-marketing placement on the homepage, and guaranteed minimum order volumes backed by platform promotion.</w:t>
      </w:r>
    </w:p>
    <w:p>
      <w:pPr>
        <w:pStyle w:val="ListParagraph"/>
        <w:numPr>
          <w:ilvl w:val="0"/>
          <w:numId w:val="2"/>
        </w:numPr>
        <w:spacing w:after="40" w:before="40"/>
      </w:pPr>
      <w:r>
        <w:rPr>
          <w:rFonts w:ascii="Arial" w:cs="Arial" w:eastAsia="Arial" w:hAnsi="Arial"/>
          <w:b w:val="false"/>
          <w:bCs w:val="false"/>
          <w:sz w:val="22"/>
          <w:szCs w:val="22"/>
        </w:rPr>
        <w:t xml:space="preserve">For top revenue-generating restaurants, assign a dedicated Partner Success Manager to handle onboarding improvements, menu updates, and priority issue resolution — reducing the incentive to migrate to competitors.</w:t>
      </w:r>
    </w:p>
    <w:p>
      <w:pPr>
        <w:pStyle w:val="ListParagraph"/>
        <w:numPr>
          <w:ilvl w:val="0"/>
          <w:numId w:val="2"/>
        </w:numPr>
        <w:spacing w:after="40" w:before="40"/>
      </w:pPr>
      <w:r>
        <w:rPr>
          <w:rFonts w:ascii="Arial" w:cs="Arial" w:eastAsia="Arial" w:hAnsi="Arial"/>
          <w:b w:val="false"/>
          <w:bCs w:val="false"/>
          <w:sz w:val="22"/>
          <w:szCs w:val="22"/>
        </w:rPr>
        <w:t xml:space="preserve">Share restaurant-level performance analytics (their rating trends, peak demand windows, top-ordered items) with partner restaurants. Data transparency builds stickiness and positions QuickBite as a strategic partner, not just an order aggregator.</w:t>
      </w:r>
    </w:p>
    <w:p>
      <w:pPr>
        <w:spacing w:after="60" w:before="60"/>
      </w:pPr>
      <w:r>
        <w:t xml:space="preserve"/>
      </w:r>
    </w:p>
    <w:p>
      <w:pPr>
        <w:spacing w:after="80" w:before="180"/>
      </w:pPr>
      <w:r>
        <w:rPr>
          <w:rFonts w:ascii="Arial" w:cs="Arial" w:eastAsia="Arial" w:hAnsi="Arial"/>
          <w:b/>
          <w:bCs/>
          <w:color w:val="006B6B"/>
          <w:sz w:val="24"/>
          <w:szCs w:val="24"/>
        </w:rPr>
        <w:t xml:space="preserve">Restaurants Requiring Attention (Rating &lt; 3.5, Orders &gt; 15)</w:t>
      </w:r>
    </w:p>
    <w:p>
      <w:pPr>
        <w:pStyle w:val="ListParagraph"/>
        <w:numPr>
          <w:ilvl w:val="0"/>
          <w:numId w:val="2"/>
        </w:numPr>
        <w:spacing w:after="40" w:before="40"/>
      </w:pPr>
      <w:r>
        <w:rPr>
          <w:rFonts w:ascii="Arial" w:cs="Arial" w:eastAsia="Arial" w:hAnsi="Arial"/>
          <w:b w:val="false"/>
          <w:bCs w:val="false"/>
          <w:sz w:val="22"/>
          <w:szCs w:val="22"/>
        </w:rPr>
        <w:t xml:space="preserve">Flag underperforming restaurants and initiate a structured Restaurant Quality Programme: mandatory food safety audits, preparation time optimisation workshops, and customer feedback loops delivered to the restaurant weekly.</w:t>
      </w:r>
    </w:p>
    <w:p>
      <w:pPr>
        <w:pStyle w:val="ListParagraph"/>
        <w:numPr>
          <w:ilvl w:val="0"/>
          <w:numId w:val="2"/>
        </w:numPr>
        <w:spacing w:after="40" w:before="40"/>
      </w:pPr>
      <w:r>
        <w:rPr>
          <w:rFonts w:ascii="Arial" w:cs="Arial" w:eastAsia="Arial" w:hAnsi="Arial"/>
          <w:b w:val="false"/>
          <w:bCs w:val="false"/>
          <w:sz w:val="22"/>
          <w:szCs w:val="22"/>
        </w:rPr>
        <w:t xml:space="preserve">Temporarily suppress low-rated restaurants from top search placements and default recommendation algorithms to protect post-crisis customer trust. Restore prominence only after ratings recover above 3.8.</w:t>
      </w:r>
    </w:p>
    <w:p>
      <w:pPr>
        <w:pStyle w:val="ListParagraph"/>
        <w:numPr>
          <w:ilvl w:val="0"/>
          <w:numId w:val="2"/>
        </w:numPr>
        <w:spacing w:after="40" w:before="40"/>
      </w:pPr>
      <w:r>
        <w:rPr>
          <w:rFonts w:ascii="Arial" w:cs="Arial" w:eastAsia="Arial" w:hAnsi="Arial"/>
          <w:b w:val="false"/>
          <w:bCs w:val="false"/>
          <w:sz w:val="22"/>
          <w:szCs w:val="22"/>
        </w:rPr>
        <w:t xml:space="preserve">Leverage the prep time midpoint analysis: restaurants with prep times &gt; 30 minutes and poor ratings should be required to update their menus to reduce complexity or face de-listing from guaranteed delivery windows.</w:t>
      </w:r>
    </w:p>
    <w:p>
      <w:pPr>
        <w:spacing w:after="60" w:before="60"/>
      </w:pPr>
      <w:r>
        <w:t xml:space="preserve"/>
      </w:r>
    </w:p>
    <w:p>
      <w:pPr>
        <w:spacing w:after="80" w:before="180"/>
      </w:pPr>
      <w:r>
        <w:rPr>
          <w:rFonts w:ascii="Arial" w:cs="Arial" w:eastAsia="Arial" w:hAnsi="Arial"/>
          <w:b/>
          <w:bCs/>
          <w:color w:val="006B6B"/>
          <w:sz w:val="24"/>
          <w:szCs w:val="24"/>
        </w:rPr>
        <w:t xml:space="preserve">Rebuilding the Partner Pipeline</w:t>
      </w:r>
    </w:p>
    <w:p>
      <w:pPr>
        <w:pStyle w:val="ListParagraph"/>
        <w:numPr>
          <w:ilvl w:val="0"/>
          <w:numId w:val="2"/>
        </w:numPr>
        <w:spacing w:after="40" w:before="40"/>
      </w:pPr>
      <w:r>
        <w:rPr>
          <w:rFonts w:ascii="Arial" w:cs="Arial" w:eastAsia="Arial" w:hAnsi="Arial"/>
          <w:b w:val="false"/>
          <w:bCs w:val="false"/>
          <w:sz w:val="22"/>
          <w:szCs w:val="22"/>
        </w:rPr>
        <w:t xml:space="preserve">Launch a 'QuickBite Revival Partnership' programme targeting mid-tier restaurants that left for competitors. Offer time-limited zero-commission onboarding for the first 3 months, combined with marketing co-investment.</w:t>
      </w:r>
    </w:p>
    <w:p>
      <w:pPr>
        <w:pStyle w:val="ListParagraph"/>
        <w:numPr>
          <w:ilvl w:val="0"/>
          <w:numId w:val="2"/>
        </w:numPr>
        <w:spacing w:after="40" w:before="40"/>
      </w:pPr>
      <w:r>
        <w:rPr>
          <w:rFonts w:ascii="Arial" w:cs="Arial" w:eastAsia="Arial" w:hAnsi="Arial"/>
          <w:b w:val="false"/>
          <w:bCs w:val="false"/>
          <w:sz w:val="22"/>
          <w:szCs w:val="22"/>
        </w:rPr>
        <w:t xml:space="preserve">Use city-level order data to identify cuisine gaps — cities or neighbourhoods with high order volume but limited restaurant coverage. Target these zones for active restaurant recruitment to improve supply-side resilience.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Restaurant Partnership KPIs to Track</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Elite Tier Restaurant Retention Rate — target 100% over 6 months</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Avg Customer Rating for Restaurants in Platform — target ≥4.0 within 6 months</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Number of Attention-Category Restaurants — target zero by end of recovery phase</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Partner Defection Rate to Competitors — measure monthly, target &lt;2%</w:t>
            </w:r>
          </w:p>
        </w:tc>
      </w:tr>
      <w:tr>
        <w:tc>
          <w:tcPr>
            <w:tcW w:type="dxa" w:w="9360"/>
            <w:tcBorders>
              <w:top w:val="none" w:color="FFFFFF" w:sz="0"/>
              <w:left w:val="none" w:color="FFFFFF" w:sz="0"/>
              <w:bottom w:val="none" w:color="FFFFFF" w:sz="0"/>
              <w:right w:val="none" w:color="FFFFFF" w:sz="0"/>
            </w:tcBorders>
            <w:shd w:fill="E2EFDA" w:val="clear"/>
            <w:tcMar>
              <w:top w:type="dxa" w:w="80"/>
              <w:left w:type="dxa" w:w="200"/>
              <w:bottom w:type="dxa" w:w="80"/>
              <w:right w:type="dxa" w:w="160"/>
            </w:tcMar>
          </w:tcPr>
          <w:p>
            <w:r>
              <w:rPr>
                <w:rFonts w:ascii="Arial" w:cs="Arial" w:eastAsia="Arial" w:hAnsi="Arial"/>
                <w:color w:val="000000"/>
                <w:sz w:val="22"/>
                <w:szCs w:val="22"/>
              </w:rPr>
              <w:t xml:space="preserve">• New Restaurant Onboarding Rate — track by city to close supply gaps</w:t>
            </w:r>
          </w:p>
        </w:tc>
      </w:tr>
    </w:tbl>
    <w:p>
      <w:r>
        <w:br/>
      </w:r>
    </w:p>
    <w:p>
      <w:pPr>
        <w:pStyle w:val="Heading2"/>
        <w:spacing w:after="100" w:before="240"/>
      </w:pPr>
      <w:r>
        <w:rPr>
          <w:rFonts w:ascii="Arial" w:cs="Arial" w:eastAsia="Arial" w:hAnsi="Arial"/>
          <w:b/>
          <w:bCs/>
          <w:color w:val="2E75B6"/>
          <w:sz w:val="28"/>
          <w:szCs w:val="28"/>
        </w:rPr>
        <w:t xml:space="preserve">2.4 Customer Sentiment &amp; Trust Rebuilding</w:t>
      </w:r>
    </w:p>
    <w:p>
      <w:pPr>
        <w:spacing w:after="60" w:before="60"/>
      </w:pPr>
      <w:r>
        <w:t xml:space="preserve"/>
      </w:r>
    </w:p>
    <w:p>
      <w:pPr>
        <w:spacing w:after="60" w:before="60"/>
      </w:pPr>
      <w:r>
        <w:rPr>
          <w:rFonts w:ascii="Arial" w:cs="Arial" w:eastAsia="Arial" w:hAnsi="Arial"/>
          <w:color w:val="000000"/>
          <w:sz w:val="22"/>
          <w:szCs w:val="22"/>
        </w:rPr>
        <w:t xml:space="preserve">The rating collapse from 4.51 to 3.04 is the most visible public-facing crisis damage. Sentiment recovery is not just a marketing problem — it is a prerequisite for organic growth, word-of-mouth acquisition, and investor confidence.</w:t>
      </w:r>
    </w:p>
    <w:p>
      <w:pPr>
        <w:spacing w:after="60" w:before="60"/>
      </w:pPr>
      <w:r>
        <w:t xml:space="preserve"/>
      </w:r>
    </w:p>
    <w:p>
      <w:pPr>
        <w:spacing w:after="80" w:before="180"/>
      </w:pPr>
      <w:r>
        <w:rPr>
          <w:rFonts w:ascii="Arial" w:cs="Arial" w:eastAsia="Arial" w:hAnsi="Arial"/>
          <w:b/>
          <w:bCs/>
          <w:color w:val="006B6B"/>
          <w:sz w:val="24"/>
          <w:szCs w:val="24"/>
        </w:rPr>
        <w:t xml:space="preserve">Immediate Trust Signals</w:t>
      </w:r>
    </w:p>
    <w:p>
      <w:pPr>
        <w:pStyle w:val="ListParagraph"/>
        <w:numPr>
          <w:ilvl w:val="0"/>
          <w:numId w:val="2"/>
        </w:numPr>
        <w:spacing w:after="40" w:before="40"/>
      </w:pPr>
      <w:r>
        <w:rPr>
          <w:rFonts w:ascii="Arial" w:cs="Arial" w:eastAsia="Arial" w:hAnsi="Arial"/>
          <w:b w:val="false"/>
          <w:bCs w:val="false"/>
          <w:sz w:val="22"/>
          <w:szCs w:val="22"/>
        </w:rPr>
        <w:t xml:space="preserve">Publish a transparent 'What Happened &amp; What We Fixed' communication — this should address the food safety incident directly, detail the monsoon operations failures, and list specific operational improvements made (e.g., new SLA systems, restaurant audits, partner retraining).</w:t>
      </w:r>
    </w:p>
    <w:p>
      <w:pPr>
        <w:pStyle w:val="ListParagraph"/>
        <w:numPr>
          <w:ilvl w:val="0"/>
          <w:numId w:val="2"/>
        </w:numPr>
        <w:spacing w:after="40" w:before="40"/>
      </w:pPr>
      <w:r>
        <w:rPr>
          <w:rFonts w:ascii="Arial" w:cs="Arial" w:eastAsia="Arial" w:hAnsi="Arial"/>
          <w:b w:val="false"/>
          <w:bCs w:val="false"/>
          <w:sz w:val="22"/>
          <w:szCs w:val="22"/>
        </w:rPr>
        <w:t xml:space="preserve">Introduce a QuickBite Safety Guarantee — a visible, simple promise on the app homepage and in onboarding: 'If your order is 20+ minutes late, get ₹50 credit. If you're unsatisfied with food quality, get a full refund — no questions asked.'</w:t>
      </w:r>
    </w:p>
    <w:p>
      <w:pPr>
        <w:pStyle w:val="ListParagraph"/>
        <w:numPr>
          <w:ilvl w:val="0"/>
          <w:numId w:val="2"/>
        </w:numPr>
        <w:spacing w:after="40" w:before="40"/>
      </w:pPr>
      <w:r>
        <w:rPr>
          <w:rFonts w:ascii="Arial" w:cs="Arial" w:eastAsia="Arial" w:hAnsi="Arial"/>
          <w:b w:val="false"/>
          <w:bCs w:val="false"/>
          <w:sz w:val="22"/>
          <w:szCs w:val="22"/>
        </w:rPr>
        <w:t xml:space="preserve">Deploy a post-order NPS micro-survey (1 question, 2 taps) after every order for the next 90 days to build a real-time sentiment dataset. Use negative responses to trigger immediate customer support callbacks.</w:t>
      </w:r>
    </w:p>
    <w:p>
      <w:pPr>
        <w:spacing w:after="60" w:before="60"/>
      </w:pPr>
      <w:r>
        <w:t xml:space="preserve"/>
      </w:r>
    </w:p>
    <w:p>
      <w:pPr>
        <w:spacing w:after="80" w:before="180"/>
      </w:pPr>
      <w:r>
        <w:rPr>
          <w:rFonts w:ascii="Arial" w:cs="Arial" w:eastAsia="Arial" w:hAnsi="Arial"/>
          <w:b/>
          <w:bCs/>
          <w:color w:val="006B6B"/>
          <w:sz w:val="24"/>
          <w:szCs w:val="24"/>
        </w:rPr>
        <w:t xml:space="preserve">Sentiment Monitoring &amp; Response</w:t>
      </w:r>
    </w:p>
    <w:p>
      <w:pPr>
        <w:pStyle w:val="ListParagraph"/>
        <w:numPr>
          <w:ilvl w:val="0"/>
          <w:numId w:val="2"/>
        </w:numPr>
        <w:spacing w:after="40" w:before="40"/>
      </w:pPr>
      <w:r>
        <w:rPr>
          <w:rFonts w:ascii="Arial" w:cs="Arial" w:eastAsia="Arial" w:hAnsi="Arial"/>
          <w:b w:val="false"/>
          <w:bCs w:val="false"/>
          <w:sz w:val="22"/>
          <w:szCs w:val="22"/>
        </w:rPr>
        <w:t xml:space="preserve">Build a live sentiment dashboard tracking average rating, sentiment score, and negative review count on a rolling 7-day basis — broken down by city, restaurant, and delivery partner. Surface this to leadership weekly.</w:t>
      </w:r>
    </w:p>
    <w:p>
      <w:pPr>
        <w:pStyle w:val="ListParagraph"/>
        <w:numPr>
          <w:ilvl w:val="0"/>
          <w:numId w:val="2"/>
        </w:numPr>
        <w:spacing w:after="40" w:before="40"/>
      </w:pPr>
      <w:r>
        <w:rPr>
          <w:rFonts w:ascii="Arial" w:cs="Arial" w:eastAsia="Arial" w:hAnsi="Arial"/>
          <w:b w:val="false"/>
          <w:bCs w:val="false"/>
          <w:sz w:val="22"/>
          <w:szCs w:val="22"/>
        </w:rPr>
        <w:t xml:space="preserve">Automate negative review response: when a rating &lt; 3 is submitted with a review, trigger an automated acknowledgement within 2 hours and a human customer service follow-up within 24 hours.</w:t>
      </w:r>
    </w:p>
    <w:p>
      <w:pPr>
        <w:pStyle w:val="ListParagraph"/>
        <w:numPr>
          <w:ilvl w:val="0"/>
          <w:numId w:val="2"/>
        </w:numPr>
        <w:spacing w:after="40" w:before="40"/>
      </w:pPr>
      <w:r>
        <w:rPr>
          <w:rFonts w:ascii="Arial" w:cs="Arial" w:eastAsia="Arial" w:hAnsi="Arial"/>
          <w:b w:val="false"/>
          <w:bCs w:val="false"/>
          <w:sz w:val="22"/>
          <w:szCs w:val="22"/>
        </w:rPr>
        <w:t xml:space="preserve">Use the negative review count per customer feature from the model to identify customers accumulating multiple negative experiences. These customers should receive proactive outreach before submitting their next review — not reactive response after.</w:t>
      </w:r>
    </w:p>
    <w:p>
      <w:pPr>
        <w:spacing w:after="60" w:before="60"/>
      </w:pPr>
      <w:r>
        <w:t xml:space="preserve"/>
      </w:r>
    </w:p>
    <w:p>
      <w:pPr>
        <w:spacing w:after="80" w:before="180"/>
      </w:pPr>
      <w:r>
        <w:rPr>
          <w:rFonts w:ascii="Arial" w:cs="Arial" w:eastAsia="Arial" w:hAnsi="Arial"/>
          <w:b/>
          <w:bCs/>
          <w:color w:val="006B6B"/>
          <w:sz w:val="24"/>
          <w:szCs w:val="24"/>
        </w:rPr>
        <w:t xml:space="preserve">Marketing &amp; Acquisition Recovery</w:t>
      </w:r>
    </w:p>
    <w:p>
      <w:pPr>
        <w:pStyle w:val="ListParagraph"/>
        <w:numPr>
          <w:ilvl w:val="0"/>
          <w:numId w:val="2"/>
        </w:numPr>
        <w:spacing w:after="40" w:before="40"/>
      </w:pPr>
      <w:r>
        <w:rPr>
          <w:rFonts w:ascii="Arial" w:cs="Arial" w:eastAsia="Arial" w:hAnsi="Arial"/>
          <w:b w:val="false"/>
          <w:bCs w:val="false"/>
          <w:sz w:val="22"/>
          <w:szCs w:val="22"/>
        </w:rPr>
        <w:t xml:space="preserve">Referral channel has historically driven orders — but re-activating referrals during crisis risks spreading negative word of mouth. Delay referral incentive amplification until average platform rating exceeds 4.0, then launch an aggressive 'Invite a Friend' campaign leveraging recovering loyal customer base.</w:t>
      </w:r>
    </w:p>
    <w:p>
      <w:pPr>
        <w:pStyle w:val="ListParagraph"/>
        <w:numPr>
          <w:ilvl w:val="0"/>
          <w:numId w:val="2"/>
        </w:numPr>
        <w:spacing w:after="40" w:before="40"/>
      </w:pPr>
      <w:r>
        <w:rPr>
          <w:rFonts w:ascii="Arial" w:cs="Arial" w:eastAsia="Arial" w:hAnsi="Arial"/>
          <w:b w:val="false"/>
          <w:bCs w:val="false"/>
          <w:sz w:val="22"/>
          <w:szCs w:val="22"/>
        </w:rPr>
        <w:t xml:space="preserve">Invest in social proof recovery: solicit video testimonials from Cluster 0 loyal customers, authentic reviews on app stores, and influencer partnerships focused on 'QuickBite is back' messaging in the top 5 order-volume cities.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Sentiment &amp; Trust KPIs to Track</w:t>
            </w:r>
          </w:p>
        </w:tc>
      </w:tr>
      <w:tr>
        <w:tc>
          <w:tcPr>
            <w:tcW w:type="dxa" w:w="9360"/>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000000"/>
                <w:sz w:val="22"/>
                <w:szCs w:val="22"/>
              </w:rPr>
              <w:t xml:space="preserve">• Platform Average Rating — target ≥4.0 within 3 months, ≥4.3 within 6 months</w:t>
            </w:r>
          </w:p>
        </w:tc>
      </w:tr>
      <w:tr>
        <w:tc>
          <w:tcPr>
            <w:tcW w:type="dxa" w:w="9360"/>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000000"/>
                <w:sz w:val="22"/>
                <w:szCs w:val="22"/>
              </w:rPr>
              <w:t xml:space="preserve">• Average Sentiment Score — rolling 30-day average, target recovery to pre-crisis level</w:t>
            </w:r>
          </w:p>
        </w:tc>
      </w:tr>
      <w:tr>
        <w:tc>
          <w:tcPr>
            <w:tcW w:type="dxa" w:w="9360"/>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000000"/>
                <w:sz w:val="22"/>
                <w:szCs w:val="22"/>
              </w:rPr>
              <w:t xml:space="preserve">• Negative Review Rate — target below 10% of all reviews within 90 days</w:t>
            </w:r>
          </w:p>
        </w:tc>
      </w:tr>
      <w:tr>
        <w:tc>
          <w:tcPr>
            <w:tcW w:type="dxa" w:w="9360"/>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000000"/>
                <w:sz w:val="22"/>
                <w:szCs w:val="22"/>
              </w:rPr>
              <w:t xml:space="preserve">• NPS Micro-Survey Response Rate — target ≥30% response rate</w:t>
            </w:r>
          </w:p>
        </w:tc>
      </w:tr>
      <w:tr>
        <w:tc>
          <w:tcPr>
            <w:tcW w:type="dxa" w:w="9360"/>
            <w:tcBorders>
              <w:top w:val="none" w:color="FFFFFF" w:sz="0"/>
              <w:left w:val="none" w:color="FFFFFF" w:sz="0"/>
              <w:bottom w:val="none" w:color="FFFFFF" w:sz="0"/>
              <w:right w:val="none" w:color="FFFFFF" w:sz="0"/>
            </w:tcBorders>
            <w:shd w:fill="FCE4D6" w:val="clear"/>
            <w:tcMar>
              <w:top w:type="dxa" w:w="80"/>
              <w:left w:type="dxa" w:w="200"/>
              <w:bottom w:type="dxa" w:w="80"/>
              <w:right w:type="dxa" w:w="160"/>
            </w:tcMar>
          </w:tcPr>
          <w:p>
            <w:r>
              <w:rPr>
                <w:rFonts w:ascii="Arial" w:cs="Arial" w:eastAsia="Arial" w:hAnsi="Arial"/>
                <w:color w:val="000000"/>
                <w:sz w:val="22"/>
                <w:szCs w:val="22"/>
              </w:rPr>
              <w:t xml:space="preserve">• Post-Crisis Customer Support Ticket Volume — should decline as operations stabilise</w:t>
            </w:r>
          </w:p>
        </w:tc>
      </w:tr>
    </w:tbl>
    <w:p>
      <w:r>
        <w:br/>
      </w:r>
    </w:p>
    <w:p>
      <w:pPr>
        <w:pStyle w:val="Heading1"/>
        <w:spacing w:after="120" w:before="300"/>
      </w:pPr>
      <w:r>
        <w:rPr>
          <w:rFonts w:ascii="Arial" w:cs="Arial" w:eastAsia="Arial" w:hAnsi="Arial"/>
          <w:b/>
          <w:bCs/>
          <w:color w:val="1F3864"/>
          <w:sz w:val="36"/>
          <w:szCs w:val="36"/>
        </w:rPr>
        <w:t xml:space="preserve">3. 90-Day Recovery Roadmap</w:t>
      </w:r>
    </w:p>
    <w:p>
      <w:pPr>
        <w:pBdr>
          <w:bottom w:val="single" w:color="2E75B6" w:sz="6"/>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Actions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1: Stabilise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Days 1–30</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Deploy 'Star' partners to priority slots; launch Cluster 0 loyalty programme; publish crisis transparency communication; implement post-order NPS survey; suppress low-rated restaurants</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Phase 2: Rebuild</w:t>
            </w:r>
          </w:p>
        </w:tc>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Days 31–60</w:t>
            </w:r>
          </w:p>
        </w:tc>
        <w:tc>
          <w:tcPr>
            <w:tcW w:type="dxa" w:w="64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Launch Cluster 2 win-back campaign; implement dynamic SLA system; begin Restaurant Quality Programme; share partner analytics dashboards; deploy severe delay alert system</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3: Grow</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Days 61–90</w:t>
            </w:r>
          </w:p>
        </w:tc>
        <w:tc>
          <w:tcPr>
            <w:tcW w:type="dxa" w:w="6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Launch QuickBite Revival Partnership for defected restaurants; activate referral programme once rating &gt; 4.0; begin influencer recovery campaign; review churn model performance and retrain if needed</w:t>
            </w:r>
          </w:p>
        </w:tc>
      </w:tr>
    </w:tbl>
    <w:p>
      <w:r>
        <w:br/>
      </w:r>
    </w:p>
    <w:p>
      <w:pPr>
        <w:pStyle w:val="Heading1"/>
        <w:spacing w:after="120" w:before="300"/>
      </w:pPr>
      <w:r>
        <w:rPr>
          <w:rFonts w:ascii="Arial" w:cs="Arial" w:eastAsia="Arial" w:hAnsi="Arial"/>
          <w:b/>
          <w:bCs/>
          <w:color w:val="1F3864"/>
          <w:sz w:val="36"/>
          <w:szCs w:val="36"/>
        </w:rPr>
        <w:t xml:space="preserve">4. Project Conclusions</w:t>
      </w:r>
    </w:p>
    <w:p>
      <w:pPr>
        <w:pBdr>
          <w:bottom w:val="single" w:color="2E75B6" w:sz="6"/>
        </w:pBdr>
        <w:spacing w:after="120" w:before="120"/>
      </w:pPr>
      <w:r>
        <w:t xml:space="preserve"/>
      </w:r>
    </w:p>
    <w:p>
      <w:pPr>
        <w:spacing w:after="60" w:before="60"/>
      </w:pPr>
      <w:r>
        <w:t xml:space="preserve"/>
      </w:r>
    </w:p>
    <w:p>
      <w:pPr>
        <w:spacing w:after="60" w:before="60"/>
      </w:pPr>
      <w:r>
        <w:rPr>
          <w:rFonts w:ascii="Arial" w:cs="Arial" w:eastAsia="Arial" w:hAnsi="Arial"/>
          <w:color w:val="000000"/>
          <w:sz w:val="22"/>
          <w:szCs w:val="22"/>
        </w:rPr>
        <w:t xml:space="preserve">This analytics project successfully achieved all its proposed objectives. The following conclusions emerge from the full analytical pipeline:</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4.1 The Crisis Had a Statistically Provable, Multi-Dimensional Impact</w:t>
      </w:r>
    </w:p>
    <w:p>
      <w:pPr>
        <w:spacing w:after="60" w:before="60"/>
      </w:pPr>
      <w:r>
        <w:rPr>
          <w:rFonts w:ascii="Arial" w:cs="Arial" w:eastAsia="Arial" w:hAnsi="Arial"/>
          <w:color w:val="000000"/>
          <w:sz w:val="22"/>
          <w:szCs w:val="22"/>
        </w:rPr>
        <w:t xml:space="preserve">Every major statistical test confirmed the crisis was not a random fluctuation — it caused genuine, measurable deterioration across delivery performance, customer satisfaction, and platform engagement. The t-statistics were among the largest possible (t = -208), confirming extreme effect sizes. This gives leadership the statistical evidence to justify large-scale investment in recovery.</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4.2 Customer Segmentation Reveals a Recoverable Base</w:t>
      </w:r>
    </w:p>
    <w:p>
      <w:pPr>
        <w:spacing w:after="60" w:before="60"/>
      </w:pPr>
      <w:r>
        <w:rPr>
          <w:rFonts w:ascii="Arial" w:cs="Arial" w:eastAsia="Arial" w:hAnsi="Arial"/>
          <w:color w:val="000000"/>
          <w:sz w:val="22"/>
          <w:szCs w:val="22"/>
        </w:rPr>
        <w:t xml:space="preserve">The K-Means clustering revealed that while Cluster 1 represents a largely lost segment (91.6% cancellation rate), Clusters 0 and 2 represent a genuinely recoverable customer base. Cluster 0 loyal customers survived the crisis and represent the most valuable cohort for retention investment. Cluster 2 casual users represent a large, low-hostility win-back opportunity. Not all churned customers are equal — and this model enables precision targeting.</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4.3 Delivery Operations Is the Single Highest-Leverage Recovery Lever</w:t>
      </w:r>
    </w:p>
    <w:p>
      <w:pPr>
        <w:spacing w:after="60" w:before="60"/>
      </w:pPr>
      <w:r>
        <w:rPr>
          <w:rFonts w:ascii="Arial" w:cs="Arial" w:eastAsia="Arial" w:hAnsi="Arial"/>
          <w:color w:val="000000"/>
          <w:sz w:val="22"/>
          <w:szCs w:val="22"/>
        </w:rPr>
        <w:t xml:space="preserve">The causal chain is clear: delays cause cancellations, cancellations cause negative reviews, negative reviews cause churn. Delivery time improvement has multiplicative effects across every other metric. The delivery partner segmentation provides a ready-made workforce intelligence layer — rewarding Star partners and exiting chronic underperformers is the fastest path to SLA recovery.</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4.4 The Churn Model Enables Proactive, Not Reactive, Retention</w:t>
      </w:r>
    </w:p>
    <w:p>
      <w:pPr>
        <w:spacing w:after="60" w:before="60"/>
      </w:pPr>
      <w:r>
        <w:rPr>
          <w:rFonts w:ascii="Arial" w:cs="Arial" w:eastAsia="Arial" w:hAnsi="Arial"/>
          <w:color w:val="000000"/>
          <w:sz w:val="22"/>
          <w:szCs w:val="22"/>
        </w:rPr>
        <w:t xml:space="preserve">The Random Forest churn classifier's top features (days since last order, order frequency, active months, cancellation rate, delivery delay) form a real-time early warning system. If QuickBite integrates these features into a production scoring pipeline, at-risk customers can be flagged and targeted 2–4 weeks before they formally churn — shifting the business from reactive damage control to proactive retention.</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4.5 Revenue Recovery Is Achievable with Modest Behavioural Improvements</w:t>
      </w:r>
    </w:p>
    <w:p>
      <w:pPr>
        <w:spacing w:after="60" w:before="60"/>
      </w:pPr>
      <w:r>
        <w:rPr>
          <w:rFonts w:ascii="Arial" w:cs="Arial" w:eastAsia="Arial" w:hAnsi="Arial"/>
          <w:color w:val="000000"/>
          <w:sz w:val="22"/>
          <w:szCs w:val="22"/>
        </w:rPr>
        <w:t xml:space="preserve">The revenue simulation demonstrated that even moderate improvements across four levers (order frequency +20%, cancellation rate -30%, favourite restaurant ratio +10%, active months +20%) project meaningful incremental revenue gain over the crisis baseline of ₹2,684,805. This quantifies the ROI of operational and retention investments, enabling the finance team to build a recovery business case.</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4.6 Restaurant Partnerships Require Differentiated, Proactive Management</w:t>
      </w:r>
    </w:p>
    <w:p>
      <w:pPr>
        <w:spacing w:after="60" w:before="60"/>
      </w:pPr>
      <w:r>
        <w:rPr>
          <w:rFonts w:ascii="Arial" w:cs="Arial" w:eastAsia="Arial" w:hAnsi="Arial"/>
          <w:color w:val="000000"/>
          <w:sz w:val="22"/>
          <w:szCs w:val="22"/>
        </w:rPr>
        <w:t xml:space="preserve">The restaurant performance tier analysis (Elite / High / Medium / Low) gives QuickBite's partnership team a concrete action framework. The platform cannot treat all restaurant partners uniformly during recovery — Elite partners need white-glove retention, attention-category restaurants need structured improvement plans, and the partner pipeline needs active replenishment from defected mid-tier restaurants.</w:t>
      </w:r>
    </w:p>
    <w:p>
      <w:pPr>
        <w:spacing w:after="60" w:before="60"/>
      </w:pPr>
      <w:r>
        <w:t xml:space="preserve"/>
      </w:r>
    </w:p>
    <w:p>
      <w:pPr>
        <w:pStyle w:val="Heading2"/>
        <w:spacing w:after="100" w:before="240"/>
      </w:pPr>
      <w:r>
        <w:rPr>
          <w:rFonts w:ascii="Arial" w:cs="Arial" w:eastAsia="Arial" w:hAnsi="Arial"/>
          <w:b/>
          <w:bCs/>
          <w:color w:val="2E75B6"/>
          <w:sz w:val="28"/>
          <w:szCs w:val="28"/>
        </w:rPr>
        <w:t xml:space="preserve">4.7 Limitations and Future Work</w:t>
      </w:r>
    </w:p>
    <w:p>
      <w:pPr>
        <w:spacing w:after="60" w:before="60"/>
      </w:pPr>
      <w:r>
        <w:rPr>
          <w:rFonts w:ascii="Arial" w:cs="Arial" w:eastAsia="Arial" w:hAnsi="Arial"/>
          <w:color w:val="000000"/>
          <w:sz w:val="22"/>
          <w:szCs w:val="22"/>
        </w:rPr>
        <w:t xml:space="preserve">Several limitations should be acknowledged for completeness and future improvement:</w:t>
      </w:r>
    </w:p>
    <w:p>
      <w:pPr>
        <w:pStyle w:val="ListParagraph"/>
        <w:numPr>
          <w:ilvl w:val="0"/>
          <w:numId w:val="2"/>
        </w:numPr>
        <w:spacing w:after="40" w:before="40"/>
      </w:pPr>
      <w:r>
        <w:rPr>
          <w:rFonts w:ascii="Arial" w:cs="Arial" w:eastAsia="Arial" w:hAnsi="Arial"/>
          <w:b w:val="false"/>
          <w:bCs w:val="false"/>
          <w:sz w:val="22"/>
          <w:szCs w:val="22"/>
        </w:rPr>
        <w:t xml:space="preserve">The crisis phase boundary (May 15, 2025) was defined by code logic rather than a confirmed business event date — this should be validated against operational records for production use.</w:t>
      </w:r>
    </w:p>
    <w:p>
      <w:pPr>
        <w:pStyle w:val="ListParagraph"/>
        <w:numPr>
          <w:ilvl w:val="0"/>
          <w:numId w:val="2"/>
        </w:numPr>
        <w:spacing w:after="40" w:before="40"/>
      </w:pPr>
      <w:r>
        <w:rPr>
          <w:rFonts w:ascii="Arial" w:cs="Arial" w:eastAsia="Arial" w:hAnsi="Arial"/>
          <w:b w:val="false"/>
          <w:bCs w:val="false"/>
          <w:sz w:val="22"/>
          <w:szCs w:val="22"/>
        </w:rPr>
        <w:t xml:space="preserve">The churn definition (&gt;90 days inactivity) is a proxy and may need adjustment based on typical inter-order intervals by customer segment.</w:t>
      </w:r>
    </w:p>
    <w:p>
      <w:pPr>
        <w:pStyle w:val="ListParagraph"/>
        <w:numPr>
          <w:ilvl w:val="0"/>
          <w:numId w:val="2"/>
        </w:numPr>
        <w:spacing w:after="40" w:before="40"/>
      </w:pPr>
      <w:r>
        <w:rPr>
          <w:rFonts w:ascii="Arial" w:cs="Arial" w:eastAsia="Arial" w:hAnsi="Arial"/>
          <w:b w:val="false"/>
          <w:bCs w:val="false"/>
          <w:sz w:val="22"/>
          <w:szCs w:val="22"/>
        </w:rPr>
        <w:t xml:space="preserve">External factors (competitor pricing, macroeconomic conditions, seasonal demand) are outside the available dataset and may affect model predictions.</w:t>
      </w:r>
    </w:p>
    <w:p>
      <w:pPr>
        <w:pStyle w:val="ListParagraph"/>
        <w:numPr>
          <w:ilvl w:val="0"/>
          <w:numId w:val="2"/>
        </w:numPr>
        <w:spacing w:after="40" w:before="40"/>
      </w:pPr>
      <w:r>
        <w:rPr>
          <w:rFonts w:ascii="Arial" w:cs="Arial" w:eastAsia="Arial" w:hAnsi="Arial"/>
          <w:b w:val="false"/>
          <w:bCs w:val="false"/>
          <w:sz w:val="22"/>
          <w:szCs w:val="22"/>
        </w:rPr>
        <w:t xml:space="preserve">The restaurant partnership prediction model was noted in the proposal as potentially influenced by competitor pricing data not available in the dataset — this remains a gap.</w:t>
      </w:r>
    </w:p>
    <w:p>
      <w:pPr>
        <w:pStyle w:val="ListParagraph"/>
        <w:numPr>
          <w:ilvl w:val="0"/>
          <w:numId w:val="2"/>
        </w:numPr>
        <w:spacing w:after="40" w:before="40"/>
      </w:pPr>
      <w:r>
        <w:rPr>
          <w:rFonts w:ascii="Arial" w:cs="Arial" w:eastAsia="Arial" w:hAnsi="Arial"/>
          <w:b w:val="false"/>
          <w:bCs w:val="false"/>
          <w:sz w:val="22"/>
          <w:szCs w:val="22"/>
        </w:rPr>
        <w:t xml:space="preserve">Model retraining: as recovery progresses and the data distribution shifts from crisis-period patterns, all ML models should be retrained on refreshed data quarterly.</w:t>
      </w:r>
    </w:p>
    <w:p>
      <w:pPr>
        <w:spacing w:after="60" w:before="60"/>
      </w:pPr>
      <w:r>
        <w:t xml:space="preserve"/>
      </w:r>
    </w:p>
    <w:p>
      <w:pPr>
        <w:pBdr>
          <w:bottom w:val="single" w:color="2E75B6" w:sz="6"/>
        </w:pBdr>
        <w:spacing w:after="120" w:before="120"/>
      </w:pPr>
      <w:r>
        <w:t xml:space="preserve"/>
      </w:r>
    </w:p>
    <w:p>
      <w:pPr>
        <w:spacing w:after="60" w:before="60"/>
      </w:pPr>
      <w:r>
        <w:t xml:space="preserve"/>
      </w:r>
    </w:p>
    <w:p>
      <w:pPr>
        <w:spacing w:after="200" w:before="200"/>
        <w:jc w:val="center"/>
      </w:pPr>
      <w:r>
        <w:rPr>
          <w:rFonts w:ascii="Arial" w:cs="Arial" w:eastAsia="Arial" w:hAnsi="Arial"/>
          <w:i/>
          <w:iCs/>
          <w:color w:val="595959"/>
          <w:sz w:val="18"/>
          <w:szCs w:val="18"/>
        </w:rPr>
        <w:t xml:space="preserve">QuickBite Express — Crisis Recovery Analytics | Prepared for CodeBasics RPC18 Data Challenge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2026-06-04T18:51:28.826Z</dcterms:created>
  <dcterms:modified xsi:type="dcterms:W3CDTF">2026-06-04T18:51:28.827Z</dcterms:modified>
</cp:coreProperties>
</file>

<file path=docProps/custom.xml><?xml version="1.0" encoding="utf-8"?>
<Properties xmlns="http://schemas.openxmlformats.org/officeDocument/2006/custom-properties" xmlns:vt="http://schemas.openxmlformats.org/officeDocument/2006/docPropsVTypes"/>
</file>