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AD7C" w14:textId="77777777" w:rsidR="008F79F8" w:rsidRDefault="00000000">
      <w:pPr>
        <w:pStyle w:val="Heading1"/>
      </w:pPr>
      <w:bookmarkStart w:id="0" w:name="X8631e96f43b9a569e0cbe9c6e12a557f770fa07"/>
      <w:r>
        <w:t>Banking Risk Analytics Dashboard – Project Report</w:t>
      </w:r>
    </w:p>
    <w:p w14:paraId="636C4723" w14:textId="77777777" w:rsidR="008F79F8" w:rsidRDefault="00000000">
      <w:pPr>
        <w:pStyle w:val="Heading2"/>
      </w:pPr>
      <w:bookmarkStart w:id="1" w:name="problem-statement"/>
      <w:r>
        <w:t>1. Problem Statement</w:t>
      </w:r>
    </w:p>
    <w:p w14:paraId="4BF1E26E" w14:textId="77777777" w:rsidR="008F79F8" w:rsidRDefault="00000000">
      <w:pPr>
        <w:pStyle w:val="FirstParagraph"/>
      </w:pPr>
      <w:r>
        <w:t xml:space="preserve">Banks face significant financial and regulatory risk when lending to customers who may default. Poor risk assessment can lead to high non-performing assets (NPAs), liquidity stress, and capital erosion. This project focuses on </w:t>
      </w:r>
      <w:r>
        <w:rPr>
          <w:b/>
          <w:bCs/>
        </w:rPr>
        <w:t>banking risk analytics</w:t>
      </w:r>
      <w:r>
        <w:t xml:space="preserve"> using customer, loan, and deposit data to help decision-makers assess repayment likelihood, exposure concentration, and portfolio imbalance </w:t>
      </w:r>
      <w:r>
        <w:rPr>
          <w:i/>
          <w:iCs/>
        </w:rPr>
        <w:t>before</w:t>
      </w:r>
      <w:r>
        <w:t xml:space="preserve"> approving or expanding lending.</w:t>
      </w:r>
    </w:p>
    <w:p w14:paraId="19887233" w14:textId="77777777" w:rsidR="008F79F8" w:rsidRDefault="00000000">
      <w:pPr>
        <w:pStyle w:val="BodyText"/>
      </w:pPr>
      <w:r>
        <w:t>The objective is to enable stakeholders to: - Identify high-risk clients and segments - Monitor loan-to-deposit imbalance - Detect exposure concentration risks - Support data-driven credit and portfolio decisions</w:t>
      </w:r>
    </w:p>
    <w:p w14:paraId="2291D902" w14:textId="77777777" w:rsidR="008F79F8" w:rsidRDefault="00000000">
      <w:r>
        <w:pict w14:anchorId="70243B8A">
          <v:rect id="_x0000_i1025" style="width:0;height:1.5pt" o:hralign="center" o:hrstd="t" o:hr="t"/>
        </w:pict>
      </w:r>
    </w:p>
    <w:p w14:paraId="503EEA55" w14:textId="77777777" w:rsidR="008F79F8" w:rsidRDefault="00000000">
      <w:pPr>
        <w:pStyle w:val="Heading2"/>
      </w:pPr>
      <w:bookmarkStart w:id="2" w:name="data-overview"/>
      <w:bookmarkEnd w:id="1"/>
      <w:r>
        <w:t>2. Data Overview</w:t>
      </w:r>
    </w:p>
    <w:p w14:paraId="18B09918" w14:textId="77777777" w:rsidR="008F79F8" w:rsidRDefault="00000000">
      <w:pPr>
        <w:pStyle w:val="FirstParagraph"/>
      </w:pPr>
      <w:r>
        <w:t>The analysis uses historical banking data containing: - Client demographics (gender, nationality, income band) - Banking relationships (Retail, Private Bank, Commercial, Institutional) - Loan details (loan amount, business lending, credit card balances) - Deposit details (savings, checking, foreign currency, total deposits) - Risk indicators (Risk Score: High / Medium / Low) - Engagement tenure (years with bank)</w:t>
      </w:r>
    </w:p>
    <w:p w14:paraId="49EDFBDE" w14:textId="77777777" w:rsidR="008F79F8" w:rsidRDefault="00000000">
      <w:pPr>
        <w:pStyle w:val="BodyText"/>
      </w:pPr>
      <w:r>
        <w:t xml:space="preserve">Data was explored and cleaned using </w:t>
      </w:r>
      <w:r>
        <w:rPr>
          <w:b/>
          <w:bCs/>
        </w:rPr>
        <w:t>Python (Pandas, NumPy, Matplotlib/Seaborn)</w:t>
      </w:r>
      <w:r>
        <w:t xml:space="preserve"> before visualization in </w:t>
      </w:r>
      <w:r>
        <w:rPr>
          <w:b/>
          <w:bCs/>
        </w:rPr>
        <w:t>Power BI</w:t>
      </w:r>
      <w:r>
        <w:t>.</w:t>
      </w:r>
    </w:p>
    <w:p w14:paraId="49E45ECC" w14:textId="77777777" w:rsidR="008F79F8" w:rsidRDefault="00000000">
      <w:r>
        <w:pict w14:anchorId="390D098E">
          <v:rect id="_x0000_i1026" style="width:0;height:1.5pt" o:hralign="center" o:hrstd="t" o:hr="t"/>
        </w:pict>
      </w:r>
    </w:p>
    <w:p w14:paraId="59158835" w14:textId="77777777" w:rsidR="008F79F8" w:rsidRDefault="00000000">
      <w:pPr>
        <w:pStyle w:val="Heading2"/>
      </w:pPr>
      <w:bookmarkStart w:id="3" w:name="exploratory-data-analysis-python"/>
      <w:bookmarkEnd w:id="2"/>
      <w:r>
        <w:t>3. Exploratory Data Analysis (Python)</w:t>
      </w:r>
    </w:p>
    <w:p w14:paraId="2A1739C3" w14:textId="77777777" w:rsidR="008F79F8" w:rsidRDefault="00000000">
      <w:pPr>
        <w:pStyle w:val="FirstParagraph"/>
      </w:pPr>
      <w:r>
        <w:t>Key EDA steps performed: - Missing value handling and data type corrections - Creation of derived metrics (Loan-to-Deposit Ratio, Client Count) - Distribution analysis of loan amounts and deposits - Risk category distribution across income bands and tenure - Identification of outliers and skewness in loan exposure</w:t>
      </w:r>
    </w:p>
    <w:p w14:paraId="580FC5E1" w14:textId="05B0966A" w:rsidR="008F79F8" w:rsidRDefault="00C97957" w:rsidP="00C97957">
      <w:pPr>
        <w:pStyle w:val="BodyText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00000">
        <w:rPr>
          <w:b/>
          <w:bCs/>
        </w:rPr>
        <w:lastRenderedPageBreak/>
        <w:t>Key EDA Findings:</w:t>
      </w:r>
      <w:r w:rsidR="00000000">
        <w:t xml:space="preserve"> </w:t>
      </w:r>
      <w:r>
        <w:br/>
      </w:r>
      <w:r>
        <w:br/>
      </w:r>
      <w:r w:rsidRPr="00C97957">
        <w:drawing>
          <wp:inline distT="0" distB="0" distL="0" distR="0" wp14:anchorId="1443C06C" wp14:editId="059393A4">
            <wp:extent cx="5943600" cy="2922905"/>
            <wp:effectExtent l="0" t="0" r="0" b="0"/>
            <wp:docPr id="14819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0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00000">
        <w:t>- Loan and deposit values are right-skewed, indicating concentration among fewer high-value clients</w:t>
      </w:r>
      <w:r>
        <w:br/>
      </w:r>
      <w:r w:rsidR="00000000">
        <w:t xml:space="preserve"> - High-risk clients show higher loan exposure relative to deposits - </w:t>
      </w:r>
      <w:proofErr w:type="gramStart"/>
      <w:r w:rsidR="00000000">
        <w:t>Longer</w:t>
      </w:r>
      <w:proofErr w:type="gramEnd"/>
      <w:r w:rsidR="00000000">
        <w:t xml:space="preserve"> engagement does not always imply lower risk</w:t>
      </w:r>
    </w:p>
    <w:p w14:paraId="702732FC" w14:textId="24FDFF30" w:rsidR="008F79F8" w:rsidRDefault="008F79F8"/>
    <w:p w14:paraId="2ADBDD1E" w14:textId="0571CEE1" w:rsidR="008F79F8" w:rsidRDefault="00000000">
      <w:pPr>
        <w:pStyle w:val="Heading2"/>
      </w:pPr>
      <w:bookmarkStart w:id="4" w:name="dashboard-structure-power-bi"/>
      <w:bookmarkEnd w:id="3"/>
      <w:r>
        <w:t>4. Dashboard Structure (Power BI)</w:t>
      </w:r>
      <w:r w:rsidR="00C97957" w:rsidRPr="00C97957">
        <w:t xml:space="preserve"> </w:t>
      </w:r>
    </w:p>
    <w:p w14:paraId="4FBE8D35" w14:textId="77777777" w:rsidR="008F79F8" w:rsidRDefault="00000000">
      <w:pPr>
        <w:pStyle w:val="FirstParagraph"/>
      </w:pPr>
      <w:r>
        <w:t xml:space="preserve">The dashboard is divided into </w:t>
      </w:r>
      <w:r>
        <w:rPr>
          <w:b/>
          <w:bCs/>
        </w:rPr>
        <w:t>four logical pages</w:t>
      </w:r>
      <w:r>
        <w:t>, each answering a specific business question.</w:t>
      </w:r>
    </w:p>
    <w:p w14:paraId="5C3C04C4" w14:textId="77777777" w:rsidR="008F79F8" w:rsidRDefault="00000000">
      <w:pPr>
        <w:pStyle w:val="Heading3"/>
      </w:pPr>
      <w:bookmarkStart w:id="5" w:name="executive-summary"/>
      <w:r>
        <w:t>4.1 Executive Summary</w:t>
      </w:r>
    </w:p>
    <w:p w14:paraId="058FBD3B" w14:textId="77777777" w:rsidR="008F79F8" w:rsidRDefault="00000000">
      <w:pPr>
        <w:pStyle w:val="FirstParagraph"/>
      </w:pPr>
      <w:r>
        <w:t>Purpose: High-level portfolio health snapshot</w:t>
      </w:r>
    </w:p>
    <w:p w14:paraId="765B34BB" w14:textId="03FC6848" w:rsidR="008F79F8" w:rsidRDefault="00000000" w:rsidP="0001655F">
      <w:pPr>
        <w:pStyle w:val="BodyText"/>
      </w:pPr>
      <w:r>
        <w:t xml:space="preserve">Key KPIs: - </w:t>
      </w:r>
      <w:r>
        <w:rPr>
          <w:b/>
          <w:bCs/>
        </w:rPr>
        <w:t>Total Clients:</w:t>
      </w:r>
      <w:r>
        <w:t xml:space="preserve"> 3000 - </w:t>
      </w:r>
      <w:r>
        <w:rPr>
          <w:b/>
          <w:bCs/>
        </w:rPr>
        <w:t>High Risk %:</w:t>
      </w:r>
      <w:r>
        <w:t xml:space="preserve"> 32.8% - </w:t>
      </w:r>
      <w:r>
        <w:rPr>
          <w:b/>
          <w:bCs/>
        </w:rPr>
        <w:t>Total Loan Portfolio:</w:t>
      </w:r>
      <w:r>
        <w:t xml:space="preserve"> ₹4.38bn - </w:t>
      </w:r>
      <w:r>
        <w:rPr>
          <w:b/>
          <w:bCs/>
        </w:rPr>
        <w:t>Loan-to-Deposit Ratio (LDR):</w:t>
      </w:r>
      <w:r>
        <w:t xml:space="preserve"> 116%</w:t>
      </w:r>
      <w:r w:rsidR="00C97957">
        <w:t xml:space="preserve">  </w:t>
      </w:r>
      <w:r w:rsidR="00C97957">
        <w:br/>
      </w:r>
      <w:r w:rsidR="00C97957">
        <w:br/>
      </w:r>
      <w:r w:rsidR="00C97957">
        <w:t>Visuals: - Risk distribution donut - High-risk clients by income band - Loan vs Deposit trend - Loans by banking relationship &amp; risk</w:t>
      </w:r>
    </w:p>
    <w:p w14:paraId="2402E1E5" w14:textId="6302DE96" w:rsidR="008F79F8" w:rsidRDefault="00C97957">
      <w:pPr>
        <w:pStyle w:val="BodyText"/>
      </w:pPr>
      <w:r>
        <w:rPr>
          <w:noProof/>
        </w:rPr>
        <w:lastRenderedPageBreak/>
        <w:drawing>
          <wp:inline distT="0" distB="0" distL="0" distR="0" wp14:anchorId="055006F5" wp14:editId="1749159F">
            <wp:extent cx="5943600" cy="3206115"/>
            <wp:effectExtent l="0" t="0" r="0" b="0"/>
            <wp:docPr id="174522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3068" name="Picture 1745223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E0B1" w14:textId="77777777" w:rsidR="008F79F8" w:rsidRDefault="00000000">
      <w:r>
        <w:pict w14:anchorId="2858C022">
          <v:rect id="_x0000_i1028" style="width:0;height:1.5pt" o:hralign="center" o:hrstd="t" o:hr="t"/>
        </w:pict>
      </w:r>
    </w:p>
    <w:p w14:paraId="3FD89941" w14:textId="77777777" w:rsidR="008F79F8" w:rsidRDefault="00000000">
      <w:pPr>
        <w:pStyle w:val="Heading3"/>
      </w:pPr>
      <w:bookmarkStart w:id="6" w:name="loan-analysis"/>
      <w:bookmarkEnd w:id="5"/>
      <w:r>
        <w:t>4.2 Loan Analysis</w:t>
      </w:r>
    </w:p>
    <w:p w14:paraId="737C19DE" w14:textId="77777777" w:rsidR="008F79F8" w:rsidRDefault="00000000">
      <w:pPr>
        <w:pStyle w:val="FirstParagraph"/>
      </w:pPr>
      <w:r>
        <w:t>Purpose: Understand loan exposure and concentration</w:t>
      </w:r>
    </w:p>
    <w:p w14:paraId="7AF94FE2" w14:textId="77777777" w:rsidR="008F79F8" w:rsidRDefault="00000000">
      <w:pPr>
        <w:pStyle w:val="BodyText"/>
      </w:pPr>
      <w:r>
        <w:t>Insights: - Total Loan: ₹4.38bn - Business Lending dominates total exposure (₹2.6bn) - Private Banking contributes disproportionately to high-risk loan exposure</w:t>
      </w:r>
    </w:p>
    <w:p w14:paraId="497A8338" w14:textId="210D52E2" w:rsidR="008F79F8" w:rsidRDefault="00000000">
      <w:pPr>
        <w:pStyle w:val="BodyText"/>
      </w:pPr>
      <w:r>
        <w:t>Visuals: - Bank loans by nationality - Loans by income band - Loans by engagement timeframe</w:t>
      </w:r>
      <w:r w:rsidR="0001655F">
        <w:t xml:space="preserve">  </w:t>
      </w:r>
      <w:r w:rsidR="0001655F">
        <w:rPr>
          <w:noProof/>
        </w:rPr>
        <w:drawing>
          <wp:inline distT="0" distB="0" distL="0" distR="0" wp14:anchorId="173178BA" wp14:editId="6B4A17A0">
            <wp:extent cx="5943600" cy="2994660"/>
            <wp:effectExtent l="0" t="0" r="0" b="0"/>
            <wp:docPr id="596304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4757" name="Picture 596304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55F">
        <w:br/>
      </w:r>
      <w:r w:rsidR="0001655F">
        <w:lastRenderedPageBreak/>
        <w:br/>
      </w:r>
    </w:p>
    <w:p w14:paraId="7C08C765" w14:textId="77777777" w:rsidR="008F79F8" w:rsidRDefault="00000000">
      <w:r>
        <w:pict w14:anchorId="6FCFB2A3">
          <v:rect id="_x0000_i1029" style="width:0;height:1.5pt" o:hralign="center" o:hrstd="t" o:hr="t"/>
        </w:pict>
      </w:r>
    </w:p>
    <w:p w14:paraId="77D6558A" w14:textId="77777777" w:rsidR="008F79F8" w:rsidRDefault="00000000">
      <w:pPr>
        <w:pStyle w:val="Heading3"/>
      </w:pPr>
      <w:bookmarkStart w:id="7" w:name="deposit-analysis"/>
      <w:bookmarkEnd w:id="6"/>
      <w:r>
        <w:t>4.3 Deposit Analysis</w:t>
      </w:r>
    </w:p>
    <w:p w14:paraId="749C860B" w14:textId="77777777" w:rsidR="008F79F8" w:rsidRDefault="00000000">
      <w:pPr>
        <w:pStyle w:val="FirstParagraph"/>
      </w:pPr>
      <w:r>
        <w:t>Purpose: Evaluate funding stability and liquidity support</w:t>
      </w:r>
    </w:p>
    <w:p w14:paraId="33CF3807" w14:textId="77777777" w:rsidR="008F79F8" w:rsidRDefault="00000000">
      <w:pPr>
        <w:pStyle w:val="BodyText"/>
      </w:pPr>
      <w:r>
        <w:t>Insights: - Total Deposits: ₹3.77bn - Checking and Savings accounts form the bulk of deposits - European clients contribute higher deposits with lower risk</w:t>
      </w:r>
    </w:p>
    <w:p w14:paraId="2FA52AE7" w14:textId="44835DC9" w:rsidR="008F79F8" w:rsidRDefault="00000000">
      <w:pPr>
        <w:pStyle w:val="BodyText"/>
      </w:pPr>
      <w:r>
        <w:t>Visuals: - Deposit composition by account type - Deposits by nationality and risk - Deposits by engagement timeframe - LDR gauge with target threshold (0.80)</w:t>
      </w:r>
      <w:r w:rsidR="0001655F">
        <w:t xml:space="preserve">  </w:t>
      </w:r>
      <w:r w:rsidR="0001655F">
        <w:br/>
      </w:r>
      <w:r w:rsidR="0001655F">
        <w:br/>
      </w:r>
      <w:r w:rsidR="0001655F">
        <w:rPr>
          <w:noProof/>
        </w:rPr>
        <w:drawing>
          <wp:inline distT="0" distB="0" distL="0" distR="0" wp14:anchorId="7EB1B08C" wp14:editId="4D9465EE">
            <wp:extent cx="5943600" cy="3402965"/>
            <wp:effectExtent l="0" t="0" r="0" b="0"/>
            <wp:docPr id="2000624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24905" name="Picture 2000624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A8E5" w14:textId="77777777" w:rsidR="008F79F8" w:rsidRDefault="00000000">
      <w:r>
        <w:pict w14:anchorId="0E0512B3">
          <v:rect id="_x0000_i1030" style="width:0;height:1.5pt" o:hralign="center" o:hrstd="t" o:hr="t"/>
        </w:pict>
      </w:r>
    </w:p>
    <w:p w14:paraId="333B563F" w14:textId="77777777" w:rsidR="008F79F8" w:rsidRDefault="00000000">
      <w:pPr>
        <w:pStyle w:val="Heading3"/>
      </w:pPr>
      <w:bookmarkStart w:id="8" w:name="summary-risk-segmentation"/>
      <w:bookmarkEnd w:id="7"/>
      <w:r>
        <w:t>4.4 Summary &amp; Risk Segmentation</w:t>
      </w:r>
    </w:p>
    <w:p w14:paraId="06688EE0" w14:textId="77777777" w:rsidR="008F79F8" w:rsidRDefault="00000000">
      <w:pPr>
        <w:pStyle w:val="FirstParagraph"/>
      </w:pPr>
      <w:r>
        <w:t>Purpose: Combine risk, exposure, and actionability</w:t>
      </w:r>
    </w:p>
    <w:p w14:paraId="743DCEA2" w14:textId="77777777" w:rsidR="008F79F8" w:rsidRDefault="00000000">
      <w:pPr>
        <w:pStyle w:val="BodyText"/>
      </w:pPr>
      <w:r>
        <w:t xml:space="preserve">Key Visuals: - </w:t>
      </w:r>
      <w:r>
        <w:rPr>
          <w:b/>
          <w:bCs/>
        </w:rPr>
        <w:t>Client Segmentation Scatter Plot</w:t>
      </w:r>
      <w:r>
        <w:t xml:space="preserve"> (Deposits vs Loans) - Risk category table with conditional formatting - Insights &amp; recommendations panel</w:t>
      </w:r>
    </w:p>
    <w:p w14:paraId="022D23F4" w14:textId="19A7D24B" w:rsidR="008F79F8" w:rsidRDefault="00000000">
      <w:pPr>
        <w:pStyle w:val="BodyText"/>
      </w:pPr>
      <w:r>
        <w:lastRenderedPageBreak/>
        <w:t>Scatter Plot Interpretation: - High-risk clients cluster in high-loan / low-deposit quadrant - Low-risk clients show stronger deposit backing</w:t>
      </w:r>
      <w:r w:rsidR="0001655F">
        <w:t xml:space="preserve">  </w:t>
      </w:r>
      <w:r w:rsidR="0001655F">
        <w:br/>
      </w:r>
      <w:r w:rsidR="0001655F">
        <w:rPr>
          <w:noProof/>
        </w:rPr>
        <w:drawing>
          <wp:inline distT="0" distB="0" distL="0" distR="0" wp14:anchorId="563B4762" wp14:editId="0B11DB7C">
            <wp:extent cx="5943600" cy="3400425"/>
            <wp:effectExtent l="0" t="0" r="0" b="0"/>
            <wp:docPr id="117310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605" name="Picture 117310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7F0" w14:textId="77777777" w:rsidR="008F79F8" w:rsidRDefault="00000000">
      <w:r>
        <w:pict w14:anchorId="73AB1DB0">
          <v:rect id="_x0000_i1031" style="width:0;height:1.5pt" o:hralign="center" o:hrstd="t" o:hr="t"/>
        </w:pict>
      </w:r>
    </w:p>
    <w:p w14:paraId="6E76A0AD" w14:textId="77777777" w:rsidR="008F79F8" w:rsidRDefault="00000000">
      <w:pPr>
        <w:pStyle w:val="Heading2"/>
      </w:pPr>
      <w:bookmarkStart w:id="9" w:name="key-insights"/>
      <w:bookmarkEnd w:id="4"/>
      <w:bookmarkEnd w:id="8"/>
      <w:r>
        <w:t>5. Key Insights</w:t>
      </w:r>
    </w:p>
    <w:p w14:paraId="57FF106C" w14:textId="77777777" w:rsidR="008F79F8" w:rsidRDefault="00000000">
      <w:pPr>
        <w:pStyle w:val="Heading3"/>
      </w:pPr>
      <w:bookmarkStart w:id="10" w:name="liquidity-risk"/>
      <w:r>
        <w:t>5.1 Liquidity Risk</w:t>
      </w:r>
    </w:p>
    <w:p w14:paraId="6F25D793" w14:textId="77777777" w:rsidR="008F79F8" w:rsidRDefault="00000000">
      <w:pPr>
        <w:pStyle w:val="Compact"/>
        <w:numPr>
          <w:ilvl w:val="0"/>
          <w:numId w:val="2"/>
        </w:numPr>
      </w:pPr>
      <w:r>
        <w:t xml:space="preserve">Loan-to-Deposit Ratio at </w:t>
      </w:r>
      <w:r>
        <w:rPr>
          <w:b/>
          <w:bCs/>
        </w:rPr>
        <w:t>116%</w:t>
      </w:r>
      <w:r>
        <w:t xml:space="preserve"> indicates overleveraging</w:t>
      </w:r>
    </w:p>
    <w:p w14:paraId="19CC022A" w14:textId="77777777" w:rsidR="008F79F8" w:rsidRDefault="00000000">
      <w:pPr>
        <w:pStyle w:val="Compact"/>
        <w:numPr>
          <w:ilvl w:val="0"/>
          <w:numId w:val="2"/>
        </w:numPr>
      </w:pPr>
      <w:r>
        <w:t>Loans exceed deposit base, increasing liquidity pressure</w:t>
      </w:r>
    </w:p>
    <w:p w14:paraId="427BBE21" w14:textId="77777777" w:rsidR="008F79F8" w:rsidRDefault="00000000">
      <w:pPr>
        <w:pStyle w:val="Heading3"/>
      </w:pPr>
      <w:bookmarkStart w:id="11" w:name="risk-concentration"/>
      <w:bookmarkEnd w:id="10"/>
      <w:r>
        <w:t>5.2 Risk Concentration</w:t>
      </w:r>
    </w:p>
    <w:p w14:paraId="2039CCA9" w14:textId="77777777" w:rsidR="008F79F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32.8% of clients (984)</w:t>
      </w:r>
      <w:r>
        <w:t xml:space="preserve"> classified as High Risk</w:t>
      </w:r>
    </w:p>
    <w:p w14:paraId="646D2C9C" w14:textId="77777777" w:rsidR="008F79F8" w:rsidRDefault="00000000">
      <w:pPr>
        <w:pStyle w:val="Compact"/>
        <w:numPr>
          <w:ilvl w:val="0"/>
          <w:numId w:val="3"/>
        </w:numPr>
      </w:pPr>
      <w:r>
        <w:t xml:space="preserve">High-risk exposure totals </w:t>
      </w:r>
      <w:r>
        <w:rPr>
          <w:b/>
          <w:bCs/>
        </w:rPr>
        <w:t>₹1.78bn</w:t>
      </w:r>
      <w:r>
        <w:t>, representing a significant portfolio concentration</w:t>
      </w:r>
    </w:p>
    <w:p w14:paraId="4B5545DF" w14:textId="77777777" w:rsidR="008F79F8" w:rsidRDefault="00000000">
      <w:pPr>
        <w:pStyle w:val="Heading3"/>
      </w:pPr>
      <w:bookmarkStart w:id="12" w:name="segment-level-insights"/>
      <w:bookmarkEnd w:id="11"/>
      <w:r>
        <w:t>5.3 Segment-Level Insights</w:t>
      </w:r>
    </w:p>
    <w:p w14:paraId="216656C1" w14:textId="77777777" w:rsidR="008F79F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Private Banking</w:t>
      </w:r>
      <w:r>
        <w:t xml:space="preserve"> clients:</w:t>
      </w:r>
    </w:p>
    <w:p w14:paraId="6E1ADC50" w14:textId="77777777" w:rsidR="008F79F8" w:rsidRDefault="00000000">
      <w:pPr>
        <w:pStyle w:val="Compact"/>
        <w:numPr>
          <w:ilvl w:val="1"/>
          <w:numId w:val="5"/>
        </w:numPr>
      </w:pPr>
      <w:r>
        <w:t>Contribute ~45% of deposits</w:t>
      </w:r>
    </w:p>
    <w:p w14:paraId="1782DDBB" w14:textId="77777777" w:rsidR="008F79F8" w:rsidRDefault="00000000">
      <w:pPr>
        <w:pStyle w:val="Compact"/>
        <w:numPr>
          <w:ilvl w:val="1"/>
          <w:numId w:val="5"/>
        </w:numPr>
      </w:pPr>
      <w:r>
        <w:t>Account for only ~28% of loans</w:t>
      </w:r>
    </w:p>
    <w:p w14:paraId="1280FB5F" w14:textId="77777777" w:rsidR="008F79F8" w:rsidRDefault="00000000">
      <w:pPr>
        <w:pStyle w:val="Compact"/>
        <w:numPr>
          <w:ilvl w:val="1"/>
          <w:numId w:val="5"/>
        </w:numPr>
      </w:pPr>
      <w:r>
        <w:t>Represent an opportunity for controlled loan expansion</w:t>
      </w:r>
    </w:p>
    <w:p w14:paraId="793813F8" w14:textId="77777777" w:rsidR="008F79F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European clients</w:t>
      </w:r>
      <w:r>
        <w:t>:</w:t>
      </w:r>
    </w:p>
    <w:p w14:paraId="77631497" w14:textId="77777777" w:rsidR="008F79F8" w:rsidRDefault="00000000">
      <w:pPr>
        <w:pStyle w:val="Compact"/>
        <w:numPr>
          <w:ilvl w:val="1"/>
          <w:numId w:val="6"/>
        </w:numPr>
      </w:pPr>
      <w:r>
        <w:t>Lowest default rates (~4.2%)</w:t>
      </w:r>
    </w:p>
    <w:p w14:paraId="2F19DCAB" w14:textId="77777777" w:rsidR="008F79F8" w:rsidRDefault="00000000">
      <w:pPr>
        <w:pStyle w:val="Compact"/>
        <w:numPr>
          <w:ilvl w:val="1"/>
          <w:numId w:val="6"/>
        </w:numPr>
      </w:pPr>
      <w:r>
        <w:t>Strong deposit contribution</w:t>
      </w:r>
    </w:p>
    <w:p w14:paraId="0E3350AF" w14:textId="77777777" w:rsidR="008F79F8" w:rsidRDefault="00000000">
      <w:pPr>
        <w:pStyle w:val="Heading3"/>
      </w:pPr>
      <w:bookmarkStart w:id="13" w:name="engagement-tenure"/>
      <w:bookmarkEnd w:id="12"/>
      <w:r>
        <w:lastRenderedPageBreak/>
        <w:t>5.4 Engagement Tenure</w:t>
      </w:r>
    </w:p>
    <w:p w14:paraId="61AB04C4" w14:textId="77777777" w:rsidR="008F79F8" w:rsidRDefault="00000000">
      <w:pPr>
        <w:pStyle w:val="Compact"/>
        <w:numPr>
          <w:ilvl w:val="0"/>
          <w:numId w:val="7"/>
        </w:numPr>
      </w:pPr>
      <w:r>
        <w:t>Clients with &lt;10 years engagement carry higher risk-weighted loan exposure</w:t>
      </w:r>
    </w:p>
    <w:p w14:paraId="78E2C012" w14:textId="77777777" w:rsidR="008F79F8" w:rsidRDefault="00000000">
      <w:pPr>
        <w:pStyle w:val="Compact"/>
        <w:numPr>
          <w:ilvl w:val="0"/>
          <w:numId w:val="7"/>
        </w:numPr>
      </w:pPr>
      <w:r>
        <w:t>Longer tenure does not eliminate risk but improves deposit stability</w:t>
      </w:r>
    </w:p>
    <w:p w14:paraId="2DEF6FD2" w14:textId="77777777" w:rsidR="008F79F8" w:rsidRDefault="00000000">
      <w:r>
        <w:pict w14:anchorId="069EDFC7">
          <v:rect id="_x0000_i1032" style="width:0;height:1.5pt" o:hralign="center" o:hrstd="t" o:hr="t"/>
        </w:pict>
      </w:r>
    </w:p>
    <w:p w14:paraId="55A199BD" w14:textId="77777777" w:rsidR="008F79F8" w:rsidRDefault="00000000">
      <w:pPr>
        <w:pStyle w:val="Heading2"/>
      </w:pPr>
      <w:bookmarkStart w:id="14" w:name="business-recommendations"/>
      <w:bookmarkEnd w:id="9"/>
      <w:bookmarkEnd w:id="13"/>
      <w:r>
        <w:t>6. Business Recommendations</w:t>
      </w:r>
    </w:p>
    <w:p w14:paraId="3393C852" w14:textId="77777777" w:rsidR="008F79F8" w:rsidRDefault="00000000">
      <w:pPr>
        <w:pStyle w:val="Heading3"/>
      </w:pPr>
      <w:bookmarkStart w:id="15" w:name="immediate-actions"/>
      <w:r>
        <w:t>6.1 Immediate Actions</w:t>
      </w:r>
    </w:p>
    <w:p w14:paraId="4778B167" w14:textId="77777777" w:rsidR="008F79F8" w:rsidRDefault="00000000">
      <w:pPr>
        <w:pStyle w:val="Compact"/>
        <w:numPr>
          <w:ilvl w:val="0"/>
          <w:numId w:val="8"/>
        </w:numPr>
      </w:pPr>
      <w:r>
        <w:t xml:space="preserve">Reduce loan growth until LDR falls below </w:t>
      </w:r>
      <w:r>
        <w:rPr>
          <w:b/>
          <w:bCs/>
        </w:rPr>
        <w:t>100%</w:t>
      </w:r>
    </w:p>
    <w:p w14:paraId="7C3A9E6C" w14:textId="77777777" w:rsidR="008F79F8" w:rsidRDefault="00000000">
      <w:pPr>
        <w:pStyle w:val="Compact"/>
        <w:numPr>
          <w:ilvl w:val="0"/>
          <w:numId w:val="8"/>
        </w:numPr>
      </w:pPr>
      <w:r>
        <w:t>Increase deposit mobilization campaigns (fixed deposits, long-term savings)</w:t>
      </w:r>
    </w:p>
    <w:p w14:paraId="6FDC858D" w14:textId="77777777" w:rsidR="008F79F8" w:rsidRDefault="00000000">
      <w:pPr>
        <w:pStyle w:val="Heading3"/>
      </w:pPr>
      <w:bookmarkStart w:id="16" w:name="risk-mitigation"/>
      <w:bookmarkEnd w:id="15"/>
      <w:r>
        <w:t>6.2 Risk Mitigation</w:t>
      </w:r>
    </w:p>
    <w:p w14:paraId="79FC56D9" w14:textId="77777777" w:rsidR="008F79F8" w:rsidRDefault="00000000">
      <w:pPr>
        <w:pStyle w:val="Compact"/>
        <w:numPr>
          <w:ilvl w:val="0"/>
          <w:numId w:val="9"/>
        </w:numPr>
      </w:pPr>
      <w:r>
        <w:t xml:space="preserve">Tighten credit approval for </w:t>
      </w:r>
      <w:r>
        <w:rPr>
          <w:b/>
          <w:bCs/>
        </w:rPr>
        <w:t>High Risk</w:t>
      </w:r>
      <w:r>
        <w:t xml:space="preserve"> segments</w:t>
      </w:r>
    </w:p>
    <w:p w14:paraId="609CC0EF" w14:textId="77777777" w:rsidR="008F79F8" w:rsidRDefault="00000000">
      <w:pPr>
        <w:pStyle w:val="Compact"/>
        <w:numPr>
          <w:ilvl w:val="0"/>
          <w:numId w:val="9"/>
        </w:numPr>
      </w:pPr>
      <w:r>
        <w:t>Introduce stricter collateral and pricing for high-risk clients</w:t>
      </w:r>
    </w:p>
    <w:p w14:paraId="78A285A2" w14:textId="77777777" w:rsidR="008F79F8" w:rsidRDefault="00000000">
      <w:pPr>
        <w:pStyle w:val="Heading3"/>
      </w:pPr>
      <w:bookmarkStart w:id="17" w:name="growth-opportunities"/>
      <w:bookmarkEnd w:id="16"/>
      <w:r>
        <w:t>6.3 Growth Opportunities</w:t>
      </w:r>
    </w:p>
    <w:p w14:paraId="0DED9EE0" w14:textId="77777777" w:rsidR="008F79F8" w:rsidRDefault="00000000">
      <w:pPr>
        <w:pStyle w:val="Compact"/>
        <w:numPr>
          <w:ilvl w:val="0"/>
          <w:numId w:val="10"/>
        </w:numPr>
      </w:pPr>
      <w:r>
        <w:t xml:space="preserve">Expand lending cautiously within </w:t>
      </w:r>
      <w:r>
        <w:rPr>
          <w:b/>
          <w:bCs/>
        </w:rPr>
        <w:t>Private Banking</w:t>
      </w:r>
      <w:r>
        <w:t xml:space="preserve"> segment</w:t>
      </w:r>
    </w:p>
    <w:p w14:paraId="6FF4B723" w14:textId="77777777" w:rsidR="008F79F8" w:rsidRDefault="00000000">
      <w:pPr>
        <w:pStyle w:val="Compact"/>
        <w:numPr>
          <w:ilvl w:val="0"/>
          <w:numId w:val="10"/>
        </w:numPr>
      </w:pPr>
      <w:r>
        <w:t xml:space="preserve">Target </w:t>
      </w:r>
      <w:r>
        <w:rPr>
          <w:b/>
          <w:bCs/>
        </w:rPr>
        <w:t>European and Low Risk</w:t>
      </w:r>
      <w:r>
        <w:t xml:space="preserve"> clients for portfolio growth</w:t>
      </w:r>
    </w:p>
    <w:p w14:paraId="1A22A9A9" w14:textId="77777777" w:rsidR="008F79F8" w:rsidRDefault="00000000">
      <w:pPr>
        <w:pStyle w:val="Heading3"/>
      </w:pPr>
      <w:bookmarkStart w:id="18" w:name="monitoring-governance"/>
      <w:bookmarkEnd w:id="17"/>
      <w:r>
        <w:t>6.4 Monitoring &amp; Governance</w:t>
      </w:r>
    </w:p>
    <w:p w14:paraId="3ED37A42" w14:textId="77777777" w:rsidR="008F79F8" w:rsidRDefault="00000000">
      <w:pPr>
        <w:pStyle w:val="Compact"/>
        <w:numPr>
          <w:ilvl w:val="0"/>
          <w:numId w:val="11"/>
        </w:numPr>
      </w:pPr>
      <w:r>
        <w:t>Track High Risk % monthly</w:t>
      </w:r>
    </w:p>
    <w:p w14:paraId="520602DA" w14:textId="77777777" w:rsidR="008F79F8" w:rsidRDefault="00000000">
      <w:pPr>
        <w:pStyle w:val="Compact"/>
        <w:numPr>
          <w:ilvl w:val="0"/>
          <w:numId w:val="11"/>
        </w:numPr>
      </w:pPr>
      <w:r>
        <w:t>Set early-warning triggers for LDR breaches</w:t>
      </w:r>
    </w:p>
    <w:p w14:paraId="4BA84CF8" w14:textId="77777777" w:rsidR="008F79F8" w:rsidRDefault="00000000">
      <w:pPr>
        <w:pStyle w:val="Compact"/>
        <w:numPr>
          <w:ilvl w:val="0"/>
          <w:numId w:val="11"/>
        </w:numPr>
      </w:pPr>
      <w:r>
        <w:t>Use segmentation scatter to flag risky client profiles pre-approval</w:t>
      </w:r>
    </w:p>
    <w:p w14:paraId="129DB5E4" w14:textId="77777777" w:rsidR="008F79F8" w:rsidRDefault="00000000">
      <w:r>
        <w:pict w14:anchorId="17FB8C11">
          <v:rect id="_x0000_i1033" style="width:0;height:1.5pt" o:hralign="center" o:hrstd="t" o:hr="t"/>
        </w:pict>
      </w:r>
    </w:p>
    <w:p w14:paraId="47579F9A" w14:textId="77777777" w:rsidR="008F79F8" w:rsidRDefault="00000000">
      <w:pPr>
        <w:pStyle w:val="Heading2"/>
      </w:pPr>
      <w:bookmarkStart w:id="19" w:name="tools-technologies"/>
      <w:bookmarkEnd w:id="14"/>
      <w:bookmarkEnd w:id="18"/>
      <w:r>
        <w:t>7. Tools &amp; Technologies</w:t>
      </w:r>
    </w:p>
    <w:p w14:paraId="0792C47F" w14:textId="77777777" w:rsidR="008F79F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Python:</w:t>
      </w:r>
      <w:r>
        <w:t xml:space="preserve"> Pandas, NumPy, Matplotlib, Seaborn</w:t>
      </w:r>
    </w:p>
    <w:p w14:paraId="2488DEAE" w14:textId="77777777" w:rsidR="008F79F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Power BI:</w:t>
      </w:r>
      <w:r>
        <w:t xml:space="preserve"> DAX measures, conditional formatting, drill-through, scatter analysis</w:t>
      </w:r>
    </w:p>
    <w:p w14:paraId="31D388F0" w14:textId="77777777" w:rsidR="008F79F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SQL (optional):</w:t>
      </w:r>
      <w:r>
        <w:t xml:space="preserve"> Data validation and aggregation</w:t>
      </w:r>
    </w:p>
    <w:p w14:paraId="1B391CDB" w14:textId="77777777" w:rsidR="008F79F8" w:rsidRDefault="00000000">
      <w:r>
        <w:pict w14:anchorId="2839398D">
          <v:rect id="_x0000_i1034" style="width:0;height:1.5pt" o:hralign="center" o:hrstd="t" o:hr="t"/>
        </w:pict>
      </w:r>
    </w:p>
    <w:p w14:paraId="7914C3D7" w14:textId="77777777" w:rsidR="008F79F8" w:rsidRDefault="00000000">
      <w:pPr>
        <w:pStyle w:val="Heading2"/>
      </w:pPr>
      <w:bookmarkStart w:id="20" w:name="conclusion"/>
      <w:bookmarkEnd w:id="19"/>
      <w:r>
        <w:t>8. Conclusion</w:t>
      </w:r>
    </w:p>
    <w:p w14:paraId="2CA9F77B" w14:textId="77777777" w:rsidR="008F79F8" w:rsidRDefault="00000000">
      <w:pPr>
        <w:pStyle w:val="FirstParagraph"/>
      </w:pPr>
      <w:r>
        <w:t xml:space="preserve">This Banking Risk Analytics project demonstrates how combining </w:t>
      </w:r>
      <w:r>
        <w:rPr>
          <w:b/>
          <w:bCs/>
        </w:rPr>
        <w:t>EDA, business KPIs, and interactive dashboards</w:t>
      </w:r>
      <w:r>
        <w:t xml:space="preserve"> can significantly improve credit risk visibility. The solution enables banks to proactively manage exposure, reduce default probability, and balance growth with liquidity stability.</w:t>
      </w:r>
    </w:p>
    <w:p w14:paraId="0F880493" w14:textId="77777777" w:rsidR="008F79F8" w:rsidRDefault="00000000">
      <w:pPr>
        <w:pStyle w:val="BodyText"/>
      </w:pPr>
      <w:r>
        <w:t xml:space="preserve">The dashboard is designed to support </w:t>
      </w:r>
      <w:r>
        <w:rPr>
          <w:b/>
          <w:bCs/>
        </w:rPr>
        <w:t>executive decision-making</w:t>
      </w:r>
      <w:r>
        <w:t xml:space="preserve">, </w:t>
      </w:r>
      <w:r>
        <w:rPr>
          <w:b/>
          <w:bCs/>
        </w:rPr>
        <w:t>risk management teams</w:t>
      </w:r>
      <w:r>
        <w:t xml:space="preserve">, and </w:t>
      </w:r>
      <w:r>
        <w:rPr>
          <w:b/>
          <w:bCs/>
        </w:rPr>
        <w:t>credit analysts</w:t>
      </w:r>
      <w:r>
        <w:t xml:space="preserve"> with actionable insights rather than static reporting.</w:t>
      </w:r>
      <w:bookmarkEnd w:id="0"/>
      <w:bookmarkEnd w:id="20"/>
    </w:p>
    <w:sectPr w:rsidR="008F79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10C2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20E9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3557B"/>
    <w:multiLevelType w:val="hybridMultilevel"/>
    <w:tmpl w:val="40F08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074A9"/>
    <w:multiLevelType w:val="hybridMultilevel"/>
    <w:tmpl w:val="97365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04256"/>
    <w:multiLevelType w:val="hybridMultilevel"/>
    <w:tmpl w:val="3CC6D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D189F"/>
    <w:multiLevelType w:val="hybridMultilevel"/>
    <w:tmpl w:val="86F01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173201">
    <w:abstractNumId w:val="0"/>
  </w:num>
  <w:num w:numId="2" w16cid:durableId="295109993">
    <w:abstractNumId w:val="1"/>
  </w:num>
  <w:num w:numId="3" w16cid:durableId="336467018">
    <w:abstractNumId w:val="1"/>
  </w:num>
  <w:num w:numId="4" w16cid:durableId="323242215">
    <w:abstractNumId w:val="1"/>
  </w:num>
  <w:num w:numId="5" w16cid:durableId="1488399633">
    <w:abstractNumId w:val="1"/>
  </w:num>
  <w:num w:numId="6" w16cid:durableId="2048529201">
    <w:abstractNumId w:val="1"/>
  </w:num>
  <w:num w:numId="7" w16cid:durableId="1995378007">
    <w:abstractNumId w:val="1"/>
  </w:num>
  <w:num w:numId="8" w16cid:durableId="65032449">
    <w:abstractNumId w:val="1"/>
  </w:num>
  <w:num w:numId="9" w16cid:durableId="1263495945">
    <w:abstractNumId w:val="1"/>
  </w:num>
  <w:num w:numId="10" w16cid:durableId="2068185936">
    <w:abstractNumId w:val="1"/>
  </w:num>
  <w:num w:numId="11" w16cid:durableId="1529217530">
    <w:abstractNumId w:val="1"/>
  </w:num>
  <w:num w:numId="12" w16cid:durableId="260334738">
    <w:abstractNumId w:val="1"/>
  </w:num>
  <w:num w:numId="13" w16cid:durableId="270404413">
    <w:abstractNumId w:val="4"/>
  </w:num>
  <w:num w:numId="14" w16cid:durableId="1467622680">
    <w:abstractNumId w:val="3"/>
  </w:num>
  <w:num w:numId="15" w16cid:durableId="1330906398">
    <w:abstractNumId w:val="5"/>
  </w:num>
  <w:num w:numId="16" w16cid:durableId="30033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9F8"/>
    <w:rsid w:val="0001655F"/>
    <w:rsid w:val="00326FB4"/>
    <w:rsid w:val="008F79F8"/>
    <w:rsid w:val="00C9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BF45"/>
  <w15:docId w15:val="{F2A2E636-153C-4328-99D4-0CDF1A16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ashish kumar</cp:lastModifiedBy>
  <cp:revision>2</cp:revision>
  <dcterms:created xsi:type="dcterms:W3CDTF">2025-12-26T13:21:00Z</dcterms:created>
  <dcterms:modified xsi:type="dcterms:W3CDTF">2025-12-26T13:36:00Z</dcterms:modified>
</cp:coreProperties>
</file>