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B4332"/>
          </w:tcPr>
          <w:p>
            <w:pPr>
              <w:pStyle w:val="WS_Title"/>
              <w:spacing w:before="120" w:after="120"/>
            </w:pPr>
            <w:r>
              <w:rPr>
                <w:color w:val="52B788"/>
                <w:sz w:val="16"/>
              </w:rPr>
              <w:t>CHAPTER 4</w:t>
            </w:r>
            <w:r>
              <w:br/>
            </w:r>
            <w:r>
              <w:rPr>
                <w:b/>
                <w:color w:val="FFFFFF"/>
                <w:sz w:val="32"/>
              </w:rPr>
              <w:t>Collection of Biological Materials for Wildlife Disease Diagnosis</w:t>
            </w:r>
            <w:r>
              <w:br/>
            </w:r>
            <w:r>
              <w:rPr>
                <w:i/>
                <w:color w:val="D8F3DC"/>
                <w:sz w:val="19"/>
              </w:rPr>
              <w:t>Sampling Protocols, Preservation, Packing &amp; Referral</w:t>
            </w:r>
            <w:r>
              <w:br/>
              <w:br/>
            </w:r>
            <w:r>
              <w:rPr>
                <w:color w:val="D8F3DC"/>
                <w:sz w:val="17"/>
              </w:rPr>
              <w:t>Dr. M. Karikalan  |  ICAR-IVRI, Bareilly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2D6A4F"/>
          </w:tcPr>
          <w:p>
            <w:pPr>
              <w:pStyle w:val="WS_H1"/>
              <w:spacing w:before="40" w:after="40"/>
            </w:pPr>
            <w:r>
              <w:rPr>
                <w:b/>
                <w:color w:val="FFFFFF"/>
              </w:rPr>
              <w:t>1. Why We Collect Biological Materials — The Diagnostic Pipeline</w:t>
            </w:r>
          </w:p>
        </w:tc>
      </w:tr>
    </w:tbl>
    <w:p/>
    <w:p>
      <w:pPr>
        <w:pStyle w:val="WS_Body"/>
      </w:pPr>
      <w:r>
        <w:t>Biological samples are the irreplaceable foundation of wildlife disease diagnosis. Without properly collected, preserved, and transported samples, even the most advanced laboratory cannot establish a definitive cause of death. The diagnostic pipeline runs: Field observation → Sample collection → Chain of custody → Laboratory analysis → Definitive diagnosis → Management response.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D8F3DC"/>
          </w:tcPr>
          <w:p>
            <w:pPr>
              <w:spacing w:before="80" w:after="80"/>
            </w:pPr>
            <w:r>
              <w:rPr>
                <w:b/>
                <w:color w:val="1B4332"/>
                <w:sz w:val="18"/>
              </w:rPr>
              <w:t>RULE 1: Collect early — within 6 hrs of death ideally. RULE 2: Collect widely — minimum 15+ sample types per case. RULE 3: Label everything — sample ID, date, GPS, animal ID on every tube.</w:t>
            </w:r>
          </w:p>
        </w:tc>
      </w:tr>
    </w:tbl>
    <w:p/>
    <w:p>
      <w:pPr>
        <w:pStyle w:val="WS_H2"/>
        <w:ind w:left="170"/>
      </w:pPr>
      <w:r>
        <w:rPr>
          <w:b/>
          <w:color w:val="2D6A4F"/>
        </w:rPr>
        <w:t>How Disease Shows Up: Gene → Gross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701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Level</w:t>
            </w:r>
          </w:p>
        </w:tc>
        <w:tc>
          <w:tcPr>
            <w:tcW w:type="dxa" w:w="3402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What Changes</w:t>
            </w:r>
          </w:p>
        </w:tc>
        <w:tc>
          <w:tcPr>
            <w:tcW w:type="dxa" w:w="4535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Detected By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pStyle w:val="WS_TD"/>
              <w:spacing w:before="40" w:after="40"/>
            </w:pPr>
            <w:r>
              <w:t>Gene/Molecule</w:t>
            </w:r>
          </w:p>
        </w:tc>
        <w:tc>
          <w:tcPr>
            <w:tcW w:type="dxa" w:w="3402"/>
            <w:shd w:val="clear" w:color="auto" w:fill="FFFFFF"/>
          </w:tcPr>
          <w:p>
            <w:pPr>
              <w:pStyle w:val="WS_TD"/>
              <w:spacing w:before="40" w:after="40"/>
            </w:pPr>
            <w:r>
              <w:t>DNA mutation, protein dysfunction, toxin binding</w:t>
            </w:r>
          </w:p>
        </w:tc>
        <w:tc>
          <w:tcPr>
            <w:tcW w:type="dxa" w:w="45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PCR, sequencing, ELISA, LC-MS</w:t>
            </w:r>
          </w:p>
        </w:tc>
      </w:tr>
      <w:tr>
        <w:tc>
          <w:tcPr>
            <w:tcW w:type="dxa" w:w="1701"/>
            <w:shd w:val="clear" w:color="auto" w:fill="EAF7EE"/>
          </w:tcPr>
          <w:p>
            <w:pPr>
              <w:pStyle w:val="WS_TD"/>
              <w:spacing w:before="40" w:after="40"/>
            </w:pPr>
            <w:r>
              <w:t>Cell</w:t>
            </w:r>
          </w:p>
        </w:tc>
        <w:tc>
          <w:tcPr>
            <w:tcW w:type="dxa" w:w="3402"/>
            <w:shd w:val="clear" w:color="auto" w:fill="EAF7EE"/>
          </w:tcPr>
          <w:p>
            <w:pPr>
              <w:pStyle w:val="WS_TD"/>
              <w:spacing w:before="40" w:after="40"/>
            </w:pPr>
            <w:r>
              <w:t>Degeneration, necrosis, inclusion bodies, inflammation</w:t>
            </w:r>
          </w:p>
        </w:tc>
        <w:tc>
          <w:tcPr>
            <w:tcW w:type="dxa" w:w="45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Histopathology (H&amp;E staining)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pStyle w:val="WS_TD"/>
              <w:spacing w:before="40" w:after="40"/>
            </w:pPr>
            <w:r>
              <w:t>Tissue</w:t>
            </w:r>
          </w:p>
        </w:tc>
        <w:tc>
          <w:tcPr>
            <w:tcW w:type="dxa" w:w="3402"/>
            <w:shd w:val="clear" w:color="auto" w:fill="FFFFFF"/>
          </w:tcPr>
          <w:p>
            <w:pPr>
              <w:pStyle w:val="WS_TD"/>
              <w:spacing w:before="40" w:after="40"/>
            </w:pPr>
            <w:r>
              <w:t>Haemorrhage, necrosis, infarct, oedema, abscess</w:t>
            </w:r>
          </w:p>
        </w:tc>
        <w:tc>
          <w:tcPr>
            <w:tcW w:type="dxa" w:w="45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Gross PM + histopathology</w:t>
            </w:r>
          </w:p>
        </w:tc>
      </w:tr>
      <w:tr>
        <w:tc>
          <w:tcPr>
            <w:tcW w:type="dxa" w:w="1701"/>
            <w:shd w:val="clear" w:color="auto" w:fill="EAF7EE"/>
          </w:tcPr>
          <w:p>
            <w:pPr>
              <w:pStyle w:val="WS_TD"/>
              <w:spacing w:before="40" w:after="40"/>
            </w:pPr>
            <w:r>
              <w:t>Organ</w:t>
            </w:r>
          </w:p>
        </w:tc>
        <w:tc>
          <w:tcPr>
            <w:tcW w:type="dxa" w:w="3402"/>
            <w:shd w:val="clear" w:color="auto" w:fill="EAF7EE"/>
          </w:tcPr>
          <w:p>
            <w:pPr>
              <w:pStyle w:val="WS_TD"/>
              <w:spacing w:before="40" w:after="40"/>
            </w:pPr>
            <w:r>
              <w:t>Size change, colour, texture, weight abnormality</w:t>
            </w:r>
          </w:p>
        </w:tc>
        <w:tc>
          <w:tcPr>
            <w:tcW w:type="dxa" w:w="45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Gross PM + organ weight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pStyle w:val="WS_TD"/>
              <w:spacing w:before="40" w:after="40"/>
            </w:pPr>
            <w:r>
              <w:t>Animal</w:t>
            </w:r>
          </w:p>
        </w:tc>
        <w:tc>
          <w:tcPr>
            <w:tcW w:type="dxa" w:w="3402"/>
            <w:shd w:val="clear" w:color="auto" w:fill="FFFFFF"/>
          </w:tcPr>
          <w:p>
            <w:pPr>
              <w:pStyle w:val="WS_TD"/>
              <w:spacing w:before="40" w:after="40"/>
            </w:pPr>
            <w:r>
              <w:t>Clinical signs: fever, weakness, discharge, behavioural change</w:t>
            </w:r>
          </w:p>
        </w:tc>
        <w:tc>
          <w:tcPr>
            <w:tcW w:type="dxa" w:w="45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Clinical examination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2D6A4F"/>
          </w:tcPr>
          <w:p>
            <w:pPr>
              <w:pStyle w:val="WS_H1"/>
              <w:spacing w:before="40" w:after="40"/>
            </w:pPr>
            <w:r>
              <w:rPr>
                <w:b/>
                <w:color w:val="FFFFFF"/>
              </w:rPr>
              <w:t>2. Master Sample-Collection Table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D8F3DC"/>
          </w:tcPr>
          <w:p>
            <w:pPr>
              <w:spacing w:before="80" w:after="80"/>
            </w:pPr>
            <w:r>
              <w:rPr>
                <w:b/>
                <w:color w:val="1B4332"/>
                <w:sz w:val="18"/>
              </w:rPr>
              <w:t>Collect ALL sample types listed below from EVERY elephant PM — even if cause seems obvious. Multiple samples prevent diagnostic gaps when unexpected findings emerge.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84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Sample Type</w:t>
            </w:r>
          </w:p>
        </w:tc>
        <w:tc>
          <w:tcPr>
            <w:tcW w:type="dxa" w:w="1701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Volume/Amount</w:t>
            </w:r>
          </w:p>
        </w:tc>
        <w:tc>
          <w:tcPr>
            <w:tcW w:type="dxa" w:w="1701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Container</w:t>
            </w:r>
          </w:p>
        </w:tc>
        <w:tc>
          <w:tcPr>
            <w:tcW w:type="dxa" w:w="1984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Preservation</w:t>
            </w:r>
          </w:p>
        </w:tc>
        <w:tc>
          <w:tcPr>
            <w:tcW w:type="dxa" w:w="2268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Tests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EDTA Blood</w:t>
            </w:r>
          </w:p>
        </w:tc>
        <w:tc>
          <w:tcPr>
            <w:tcW w:type="dxa" w:w="1701"/>
            <w:shd w:val="clear" w:color="auto" w:fill="FFFFFF"/>
          </w:tcPr>
          <w:p>
            <w:pPr>
              <w:pStyle w:val="WS_TD"/>
              <w:spacing w:before="40" w:after="40"/>
            </w:pPr>
            <w:r>
              <w:t>5–10 mL</w:t>
            </w:r>
          </w:p>
        </w:tc>
        <w:tc>
          <w:tcPr>
            <w:tcW w:type="dxa" w:w="1701"/>
            <w:shd w:val="clear" w:color="auto" w:fill="FFFFFF"/>
          </w:tcPr>
          <w:p>
            <w:pPr>
              <w:pStyle w:val="WS_TD"/>
              <w:spacing w:before="40" w:after="40"/>
            </w:pPr>
            <w:r>
              <w:t>Purple-top tube</w:t>
            </w:r>
          </w:p>
        </w:tc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Ice (4°C) — DO NOT freeze</w:t>
            </w:r>
          </w:p>
        </w:tc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CBC, PCR (EEHV, TB), haematology</w:t>
            </w:r>
          </w:p>
        </w:tc>
      </w:tr>
      <w:tr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Serum (clotted blood)</w:t>
            </w:r>
          </w:p>
        </w:tc>
        <w:tc>
          <w:tcPr>
            <w:tcW w:type="dxa" w:w="1701"/>
            <w:shd w:val="clear" w:color="auto" w:fill="EAF7EE"/>
          </w:tcPr>
          <w:p>
            <w:pPr>
              <w:pStyle w:val="WS_TD"/>
              <w:spacing w:before="40" w:after="40"/>
            </w:pPr>
            <w:r>
              <w:t>10 mL</w:t>
            </w:r>
          </w:p>
        </w:tc>
        <w:tc>
          <w:tcPr>
            <w:tcW w:type="dxa" w:w="1701"/>
            <w:shd w:val="clear" w:color="auto" w:fill="EAF7EE"/>
          </w:tcPr>
          <w:p>
            <w:pPr>
              <w:pStyle w:val="WS_TD"/>
              <w:spacing w:before="40" w:after="40"/>
            </w:pPr>
            <w:r>
              <w:t>Red-top tube</w:t>
            </w:r>
          </w:p>
        </w:tc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Centrifuge → freeze serum at -20°C</w:t>
            </w:r>
          </w:p>
        </w:tc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Serology, ELISA, biochemistry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Urine</w:t>
            </w:r>
          </w:p>
        </w:tc>
        <w:tc>
          <w:tcPr>
            <w:tcW w:type="dxa" w:w="1701"/>
            <w:shd w:val="clear" w:color="auto" w:fill="FFFFFF"/>
          </w:tcPr>
          <w:p>
            <w:pPr>
              <w:pStyle w:val="WS_TD"/>
              <w:spacing w:before="40" w:after="40"/>
            </w:pPr>
            <w:r>
              <w:t>20–50 mL</w:t>
            </w:r>
          </w:p>
        </w:tc>
        <w:tc>
          <w:tcPr>
            <w:tcW w:type="dxa" w:w="1701"/>
            <w:shd w:val="clear" w:color="auto" w:fill="FFFFFF"/>
          </w:tcPr>
          <w:p>
            <w:pPr>
              <w:pStyle w:val="WS_TD"/>
              <w:spacing w:before="40" w:after="40"/>
            </w:pPr>
            <w:r>
              <w:t>Sterile container</w:t>
            </w:r>
          </w:p>
        </w:tc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Refrigerate or freeze</w:t>
            </w:r>
          </w:p>
        </w:tc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Urinalysis, toxicology, leptospira</w:t>
            </w:r>
          </w:p>
        </w:tc>
      </w:tr>
      <w:tr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Nasal/Trunk Swab</w:t>
            </w:r>
          </w:p>
        </w:tc>
        <w:tc>
          <w:tcPr>
            <w:tcW w:type="dxa" w:w="1701"/>
            <w:shd w:val="clear" w:color="auto" w:fill="EAF7EE"/>
          </w:tcPr>
          <w:p>
            <w:pPr>
              <w:pStyle w:val="WS_TD"/>
              <w:spacing w:before="40" w:after="40"/>
            </w:pPr>
            <w:r>
              <w:t>2 swabs per site</w:t>
            </w:r>
          </w:p>
        </w:tc>
        <w:tc>
          <w:tcPr>
            <w:tcW w:type="dxa" w:w="1701"/>
            <w:shd w:val="clear" w:color="auto" w:fill="EAF7EE"/>
          </w:tcPr>
          <w:p>
            <w:pPr>
              <w:pStyle w:val="WS_TD"/>
              <w:spacing w:before="40" w:after="40"/>
            </w:pPr>
            <w:r>
              <w:t>Viral transport medium (VTM)</w:t>
            </w:r>
          </w:p>
        </w:tc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Ice — ship within 24 hrs</w:t>
            </w:r>
          </w:p>
        </w:tc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EEHV, Herpesvirus, Influenza PCR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Faecal Sample</w:t>
            </w:r>
          </w:p>
        </w:tc>
        <w:tc>
          <w:tcPr>
            <w:tcW w:type="dxa" w:w="1701"/>
            <w:shd w:val="clear" w:color="auto" w:fill="FFFFFF"/>
          </w:tcPr>
          <w:p>
            <w:pPr>
              <w:pStyle w:val="WS_TD"/>
              <w:spacing w:before="40" w:after="40"/>
            </w:pPr>
            <w:r>
              <w:t>30–50 g</w:t>
            </w:r>
          </w:p>
        </w:tc>
        <w:tc>
          <w:tcPr>
            <w:tcW w:type="dxa" w:w="1701"/>
            <w:shd w:val="clear" w:color="auto" w:fill="FFFFFF"/>
          </w:tcPr>
          <w:p>
            <w:pPr>
              <w:pStyle w:val="WS_TD"/>
              <w:spacing w:before="40" w:after="40"/>
            </w:pPr>
            <w:r>
              <w:t>Sterile container</w:t>
            </w:r>
          </w:p>
        </w:tc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Refrigerate; fix portion in 10% formalin</w:t>
            </w:r>
          </w:p>
        </w:tc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Parasitology, bacteriology</w:t>
            </w:r>
          </w:p>
        </w:tc>
      </w:tr>
      <w:tr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Lung tissue</w:t>
            </w:r>
          </w:p>
        </w:tc>
        <w:tc>
          <w:tcPr>
            <w:tcW w:type="dxa" w:w="1701"/>
            <w:shd w:val="clear" w:color="auto" w:fill="EAF7EE"/>
          </w:tcPr>
          <w:p>
            <w:pPr>
              <w:pStyle w:val="WS_TD"/>
              <w:spacing w:before="40" w:after="40"/>
            </w:pPr>
            <w:r>
              <w:t>5 × 5 cm block</w:t>
            </w:r>
          </w:p>
        </w:tc>
        <w:tc>
          <w:tcPr>
            <w:tcW w:type="dxa" w:w="1701"/>
            <w:shd w:val="clear" w:color="auto" w:fill="EAF7EE"/>
          </w:tcPr>
          <w:p>
            <w:pPr>
              <w:pStyle w:val="WS_TD"/>
              <w:spacing w:before="40" w:after="40"/>
            </w:pPr>
            <w:r>
              <w:t>Zip-lock bag (fresh) + NBF jar (fixed)</w:t>
            </w:r>
          </w:p>
        </w:tc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-20°C fresh; RT in NBF</w:t>
            </w:r>
          </w:p>
        </w:tc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Histopath, bacteriology, virology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Liver tissue</w:t>
            </w:r>
          </w:p>
        </w:tc>
        <w:tc>
          <w:tcPr>
            <w:tcW w:type="dxa" w:w="1701"/>
            <w:shd w:val="clear" w:color="auto" w:fill="FFFFFF"/>
          </w:tcPr>
          <w:p>
            <w:pPr>
              <w:pStyle w:val="WS_TD"/>
              <w:spacing w:before="40" w:after="40"/>
            </w:pPr>
            <w:r>
              <w:t>5 × 5 cm block</w:t>
            </w:r>
          </w:p>
        </w:tc>
        <w:tc>
          <w:tcPr>
            <w:tcW w:type="dxa" w:w="1701"/>
            <w:shd w:val="clear" w:color="auto" w:fill="FFFFFF"/>
          </w:tcPr>
          <w:p>
            <w:pPr>
              <w:pStyle w:val="WS_TD"/>
              <w:spacing w:before="40" w:after="40"/>
            </w:pPr>
            <w:r>
              <w:t>Same as lung</w:t>
            </w:r>
          </w:p>
        </w:tc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-20°C fresh; RT in NBF</w:t>
            </w:r>
          </w:p>
        </w:tc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Histopath, toxicology, bacteriology</w:t>
            </w:r>
          </w:p>
        </w:tc>
      </w:tr>
      <w:tr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Spleen tissue</w:t>
            </w:r>
          </w:p>
        </w:tc>
        <w:tc>
          <w:tcPr>
            <w:tcW w:type="dxa" w:w="1701"/>
            <w:shd w:val="clear" w:color="auto" w:fill="EAF7EE"/>
          </w:tcPr>
          <w:p>
            <w:pPr>
              <w:pStyle w:val="WS_TD"/>
              <w:spacing w:before="40" w:after="40"/>
            </w:pPr>
            <w:r>
              <w:t>5 × 5 cm block</w:t>
            </w:r>
          </w:p>
        </w:tc>
        <w:tc>
          <w:tcPr>
            <w:tcW w:type="dxa" w:w="1701"/>
            <w:shd w:val="clear" w:color="auto" w:fill="EAF7EE"/>
          </w:tcPr>
          <w:p>
            <w:pPr>
              <w:pStyle w:val="WS_TD"/>
              <w:spacing w:before="40" w:after="40"/>
            </w:pPr>
            <w:r>
              <w:t>Same as lung</w:t>
            </w:r>
          </w:p>
        </w:tc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-20°C fresh; RT in NBF</w:t>
            </w:r>
          </w:p>
        </w:tc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PCR (EEHV, TB), histopath, culture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Kidney tissue</w:t>
            </w:r>
          </w:p>
        </w:tc>
        <w:tc>
          <w:tcPr>
            <w:tcW w:type="dxa" w:w="1701"/>
            <w:shd w:val="clear" w:color="auto" w:fill="FFFFFF"/>
          </w:tcPr>
          <w:p>
            <w:pPr>
              <w:pStyle w:val="WS_TD"/>
              <w:spacing w:before="40" w:after="40"/>
            </w:pPr>
            <w:r>
              <w:t>5 × 5 cm block</w:t>
            </w:r>
          </w:p>
        </w:tc>
        <w:tc>
          <w:tcPr>
            <w:tcW w:type="dxa" w:w="1701"/>
            <w:shd w:val="clear" w:color="auto" w:fill="FFFFFF"/>
          </w:tcPr>
          <w:p>
            <w:pPr>
              <w:pStyle w:val="WS_TD"/>
              <w:spacing w:before="40" w:after="40"/>
            </w:pPr>
            <w:r>
              <w:t>Same as lung</w:t>
            </w:r>
          </w:p>
        </w:tc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-20°C fresh; RT in NBF</w:t>
            </w:r>
          </w:p>
        </w:tc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Histopath, leptospira, toxicology</w:t>
            </w:r>
          </w:p>
        </w:tc>
      </w:tr>
      <w:tr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Heart tissue</w:t>
            </w:r>
          </w:p>
        </w:tc>
        <w:tc>
          <w:tcPr>
            <w:tcW w:type="dxa" w:w="1701"/>
            <w:shd w:val="clear" w:color="auto" w:fill="EAF7EE"/>
          </w:tcPr>
          <w:p>
            <w:pPr>
              <w:pStyle w:val="WS_TD"/>
              <w:spacing w:before="40" w:after="40"/>
            </w:pPr>
            <w:r>
              <w:t>5 × 5 cm block</w:t>
            </w:r>
          </w:p>
        </w:tc>
        <w:tc>
          <w:tcPr>
            <w:tcW w:type="dxa" w:w="1701"/>
            <w:shd w:val="clear" w:color="auto" w:fill="EAF7EE"/>
          </w:tcPr>
          <w:p>
            <w:pPr>
              <w:pStyle w:val="WS_TD"/>
              <w:spacing w:before="40" w:after="40"/>
            </w:pPr>
            <w:r>
              <w:t>Same as lung</w:t>
            </w:r>
          </w:p>
        </w:tc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-20°C fresh; RT in NBF</w:t>
            </w:r>
          </w:p>
        </w:tc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EMCV, bacterial culture, histopath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Lymph node (mesenteric)</w:t>
            </w:r>
          </w:p>
        </w:tc>
        <w:tc>
          <w:tcPr>
            <w:tcW w:type="dxa" w:w="1701"/>
            <w:shd w:val="clear" w:color="auto" w:fill="FFFFFF"/>
          </w:tcPr>
          <w:p>
            <w:pPr>
              <w:pStyle w:val="WS_TD"/>
              <w:spacing w:before="40" w:after="40"/>
            </w:pPr>
            <w:r>
              <w:t>1–2 nodes</w:t>
            </w:r>
          </w:p>
        </w:tc>
        <w:tc>
          <w:tcPr>
            <w:tcW w:type="dxa" w:w="1701"/>
            <w:shd w:val="clear" w:color="auto" w:fill="FFFFFF"/>
          </w:tcPr>
          <w:p>
            <w:pPr>
              <w:pStyle w:val="WS_TD"/>
              <w:spacing w:before="40" w:after="40"/>
            </w:pPr>
            <w:r>
              <w:t>Same as above</w:t>
            </w:r>
          </w:p>
        </w:tc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-20°C fresh; RT in NBF</w:t>
            </w:r>
          </w:p>
        </w:tc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TB, EEHV, bacterial culture, histo</w:t>
            </w:r>
          </w:p>
        </w:tc>
      </w:tr>
      <w:tr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Brain tissue</w:t>
            </w:r>
          </w:p>
        </w:tc>
        <w:tc>
          <w:tcPr>
            <w:tcW w:type="dxa" w:w="1701"/>
            <w:shd w:val="clear" w:color="auto" w:fill="EAF7EE"/>
          </w:tcPr>
          <w:p>
            <w:pPr>
              <w:pStyle w:val="WS_TD"/>
              <w:spacing w:before="40" w:after="40"/>
            </w:pPr>
            <w:r>
              <w:t>Half brain</w:t>
            </w:r>
          </w:p>
        </w:tc>
        <w:tc>
          <w:tcPr>
            <w:tcW w:type="dxa" w:w="1701"/>
            <w:shd w:val="clear" w:color="auto" w:fill="EAF7EE"/>
          </w:tcPr>
          <w:p>
            <w:pPr>
              <w:pStyle w:val="WS_TD"/>
              <w:spacing w:before="40" w:after="40"/>
            </w:pPr>
            <w:r>
              <w:t>NBF (fixed) + fresh in zip-lock</w:t>
            </w:r>
          </w:p>
        </w:tc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-20°C fresh; RT in NBF</w:t>
            </w:r>
          </w:p>
        </w:tc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Rabies (fresh), histopath, NiV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Bone marrow (femur/rib)</w:t>
            </w:r>
          </w:p>
        </w:tc>
        <w:tc>
          <w:tcPr>
            <w:tcW w:type="dxa" w:w="1701"/>
            <w:shd w:val="clear" w:color="auto" w:fill="FFFFFF"/>
          </w:tcPr>
          <w:p>
            <w:pPr>
              <w:pStyle w:val="WS_TD"/>
              <w:spacing w:before="40" w:after="40"/>
            </w:pPr>
            <w:r>
              <w:t>5–10 mL aspirate or bone fragment</w:t>
            </w:r>
          </w:p>
        </w:tc>
        <w:tc>
          <w:tcPr>
            <w:tcW w:type="dxa" w:w="1701"/>
            <w:shd w:val="clear" w:color="auto" w:fill="FFFFFF"/>
          </w:tcPr>
          <w:p>
            <w:pPr>
              <w:pStyle w:val="WS_TD"/>
              <w:spacing w:before="40" w:after="40"/>
            </w:pPr>
            <w:r>
              <w:t>EDTA tube or zip-lock</w:t>
            </w:r>
          </w:p>
        </w:tc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Freeze</w:t>
            </w:r>
          </w:p>
        </w:tc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Diatom test, haematology, toxicology</w:t>
            </w:r>
          </w:p>
        </w:tc>
      </w:tr>
      <w:tr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Stomach contents</w:t>
            </w:r>
          </w:p>
        </w:tc>
        <w:tc>
          <w:tcPr>
            <w:tcW w:type="dxa" w:w="1701"/>
            <w:shd w:val="clear" w:color="auto" w:fill="EAF7EE"/>
          </w:tcPr>
          <w:p>
            <w:pPr>
              <w:pStyle w:val="WS_TD"/>
              <w:spacing w:before="40" w:after="40"/>
            </w:pPr>
            <w:r>
              <w:t>100–200 mL</w:t>
            </w:r>
          </w:p>
        </w:tc>
        <w:tc>
          <w:tcPr>
            <w:tcW w:type="dxa" w:w="1701"/>
            <w:shd w:val="clear" w:color="auto" w:fill="EAF7EE"/>
          </w:tcPr>
          <w:p>
            <w:pPr>
              <w:pStyle w:val="WS_TD"/>
              <w:spacing w:before="40" w:after="40"/>
            </w:pPr>
            <w:r>
              <w:t>Sterile wide-mouth jar</w:t>
            </w:r>
          </w:p>
        </w:tc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Freeze at -20°C</w:t>
            </w:r>
          </w:p>
        </w:tc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Toxicology (pesticide, metal, alkaloid)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Water/soil sample</w:t>
            </w:r>
          </w:p>
        </w:tc>
        <w:tc>
          <w:tcPr>
            <w:tcW w:type="dxa" w:w="1701"/>
            <w:shd w:val="clear" w:color="auto" w:fill="FFFFFF"/>
          </w:tcPr>
          <w:p>
            <w:pPr>
              <w:pStyle w:val="WS_TD"/>
              <w:spacing w:before="40" w:after="40"/>
            </w:pPr>
            <w:r>
              <w:t>500 mL water; 200 g soil</w:t>
            </w:r>
          </w:p>
        </w:tc>
        <w:tc>
          <w:tcPr>
            <w:tcW w:type="dxa" w:w="1701"/>
            <w:shd w:val="clear" w:color="auto" w:fill="FFFFFF"/>
          </w:tcPr>
          <w:p>
            <w:pPr>
              <w:pStyle w:val="WS_TD"/>
              <w:spacing w:before="40" w:after="40"/>
            </w:pPr>
            <w:r>
              <w:t>Sterile bottles</w:t>
            </w:r>
          </w:p>
        </w:tc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Refrigerate</w:t>
            </w:r>
          </w:p>
        </w:tc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Environmental toxicology, arsenic, heavy metals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2D6A4F"/>
          </w:tcPr>
          <w:p>
            <w:pPr>
              <w:pStyle w:val="WS_H1"/>
              <w:spacing w:before="40" w:after="40"/>
            </w:pPr>
            <w:r>
              <w:rPr>
                <w:b/>
                <w:color w:val="FFFFFF"/>
              </w:rPr>
              <w:t>3. Histopathological Examination Protocol</w:t>
            </w:r>
          </w:p>
        </w:tc>
      </w:tr>
    </w:tbl>
    <w:p/>
    <w:p>
      <w:pPr>
        <w:pStyle w:val="WS_Body"/>
      </w:pPr>
      <w:r>
        <w:t>10% Neutral Buffered Formalin (NBF) Recipe: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535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Component</w:t>
            </w:r>
          </w:p>
        </w:tc>
        <w:tc>
          <w:tcPr>
            <w:tcW w:type="dxa" w:w="5102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Amount</w:t>
            </w:r>
          </w:p>
        </w:tc>
      </w:tr>
      <w:tr>
        <w:tc>
          <w:tcPr>
            <w:tcW w:type="dxa" w:w="45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40% Formaldehyde solution (formalin)</w:t>
            </w:r>
          </w:p>
        </w:tc>
        <w:tc>
          <w:tcPr>
            <w:tcW w:type="dxa" w:w="5102"/>
            <w:shd w:val="clear" w:color="auto" w:fill="FFFFFF"/>
          </w:tcPr>
          <w:p>
            <w:pPr>
              <w:pStyle w:val="WS_TD"/>
              <w:spacing w:before="40" w:after="40"/>
            </w:pPr>
            <w:r>
              <w:t>100 mL</w:t>
            </w:r>
          </w:p>
        </w:tc>
      </w:tr>
      <w:tr>
        <w:tc>
          <w:tcPr>
            <w:tcW w:type="dxa" w:w="45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Sodium dihydrogen phosphate monohydrate (NaH₂PO₄·H₂O)</w:t>
            </w:r>
          </w:p>
        </w:tc>
        <w:tc>
          <w:tcPr>
            <w:tcW w:type="dxa" w:w="5102"/>
            <w:shd w:val="clear" w:color="auto" w:fill="EAF7EE"/>
          </w:tcPr>
          <w:p>
            <w:pPr>
              <w:pStyle w:val="WS_TD"/>
              <w:spacing w:before="40" w:after="40"/>
            </w:pPr>
            <w:r>
              <w:t>3.5 g</w:t>
            </w:r>
          </w:p>
        </w:tc>
      </w:tr>
      <w:tr>
        <w:tc>
          <w:tcPr>
            <w:tcW w:type="dxa" w:w="45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Disodium hydrogen phosphate anhydrous (Na₂HPO₄)</w:t>
            </w:r>
          </w:p>
        </w:tc>
        <w:tc>
          <w:tcPr>
            <w:tcW w:type="dxa" w:w="5102"/>
            <w:shd w:val="clear" w:color="auto" w:fill="FFFFFF"/>
          </w:tcPr>
          <w:p>
            <w:pPr>
              <w:pStyle w:val="WS_TD"/>
              <w:spacing w:before="40" w:after="40"/>
            </w:pPr>
            <w:r>
              <w:t>6.5 g</w:t>
            </w:r>
          </w:p>
        </w:tc>
      </w:tr>
      <w:tr>
        <w:tc>
          <w:tcPr>
            <w:tcW w:type="dxa" w:w="45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Distilled water</w:t>
            </w:r>
          </w:p>
        </w:tc>
        <w:tc>
          <w:tcPr>
            <w:tcW w:type="dxa" w:w="5102"/>
            <w:shd w:val="clear" w:color="auto" w:fill="EAF7EE"/>
          </w:tcPr>
          <w:p>
            <w:pPr>
              <w:pStyle w:val="WS_TD"/>
              <w:spacing w:before="40" w:after="40"/>
            </w:pPr>
            <w:r>
              <w:t>Make up to 1,000 mL (1 litre)</w:t>
            </w:r>
          </w:p>
        </w:tc>
      </w:tr>
      <w:tr>
        <w:tc>
          <w:tcPr>
            <w:tcW w:type="dxa" w:w="45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Final pH</w:t>
            </w:r>
          </w:p>
        </w:tc>
        <w:tc>
          <w:tcPr>
            <w:tcW w:type="dxa" w:w="5102"/>
            <w:shd w:val="clear" w:color="auto" w:fill="FFFFFF"/>
          </w:tcPr>
          <w:p>
            <w:pPr>
              <w:pStyle w:val="WS_TD"/>
              <w:spacing w:before="40" w:after="40"/>
            </w:pPr>
            <w:r>
              <w:t>7.0–7.4 (neutral)</w:t>
            </w:r>
          </w:p>
        </w:tc>
      </w:tr>
      <w:tr>
        <w:tc>
          <w:tcPr>
            <w:tcW w:type="dxa" w:w="45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Tissue:Formalin ratio</w:t>
            </w:r>
          </w:p>
        </w:tc>
        <w:tc>
          <w:tcPr>
            <w:tcW w:type="dxa" w:w="5102"/>
            <w:shd w:val="clear" w:color="auto" w:fill="EAF7EE"/>
          </w:tcPr>
          <w:p>
            <w:pPr>
              <w:pStyle w:val="WS_TD"/>
              <w:spacing w:before="40" w:after="40"/>
            </w:pPr>
            <w:r>
              <w:t>1:10 (1 part tissue to 10 parts formalin)</w:t>
            </w:r>
          </w:p>
        </w:tc>
      </w:tr>
      <w:tr>
        <w:tc>
          <w:tcPr>
            <w:tcW w:type="dxa" w:w="45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Tissue thickness</w:t>
            </w:r>
          </w:p>
        </w:tc>
        <w:tc>
          <w:tcPr>
            <w:tcW w:type="dxa" w:w="5102"/>
            <w:shd w:val="clear" w:color="auto" w:fill="FFFFFF"/>
          </w:tcPr>
          <w:p>
            <w:pPr>
              <w:pStyle w:val="WS_TD"/>
              <w:spacing w:before="40" w:after="40"/>
            </w:pPr>
            <w:r>
              <w:t>Maximum 1 cm slices for adequate penetration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D8F3DC"/>
          </w:tcPr>
          <w:p>
            <w:pPr>
              <w:spacing w:before="80" w:after="80"/>
            </w:pPr>
            <w:r>
              <w:rPr>
                <w:b/>
                <w:color w:val="1B4332"/>
                <w:sz w:val="18"/>
              </w:rPr>
              <w:t>CRITICAL: Tissue in formalin is fixed permanently within 24–48 hrs. Too little formalin → autolysis in centre. Too thick → formalin does not penetrate. Slice tissue to 1 cm max thickness before fixing.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2D6A4F"/>
          </w:tcPr>
          <w:p>
            <w:pPr>
              <w:pStyle w:val="WS_H1"/>
              <w:spacing w:before="40" w:after="40"/>
            </w:pPr>
            <w:r>
              <w:rPr>
                <w:b/>
                <w:color w:val="FFFFFF"/>
              </w:rPr>
              <w:t>4. Toxicological Sampling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268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Sample</w:t>
            </w:r>
          </w:p>
        </w:tc>
        <w:tc>
          <w:tcPr>
            <w:tcW w:type="dxa" w:w="1417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Amount</w:t>
            </w:r>
          </w:p>
        </w:tc>
        <w:tc>
          <w:tcPr>
            <w:tcW w:type="dxa" w:w="1984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Container</w:t>
            </w:r>
          </w:p>
        </w:tc>
        <w:tc>
          <w:tcPr>
            <w:tcW w:type="dxa" w:w="3969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Target Toxins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Stomach/rumen contents</w:t>
            </w:r>
          </w:p>
        </w:tc>
        <w:tc>
          <w:tcPr>
            <w:tcW w:type="dxa" w:w="1417"/>
            <w:shd w:val="clear" w:color="auto" w:fill="FFFFFF"/>
          </w:tcPr>
          <w:p>
            <w:pPr>
              <w:pStyle w:val="WS_TD"/>
              <w:spacing w:before="40" w:after="40"/>
            </w:pPr>
            <w:r>
              <w:t>100–200 mL</w:t>
            </w:r>
          </w:p>
        </w:tc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Sterile jar — freeze</w:t>
            </w:r>
          </w:p>
        </w:tc>
        <w:tc>
          <w:tcPr>
            <w:tcW w:type="dxa" w:w="3969"/>
            <w:shd w:val="clear" w:color="auto" w:fill="FFFFFF"/>
          </w:tcPr>
          <w:p>
            <w:pPr>
              <w:pStyle w:val="WS_TD"/>
              <w:spacing w:before="40" w:after="40"/>
            </w:pPr>
            <w:r>
              <w:t>All toxins — primary sample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Liver</w:t>
            </w:r>
          </w:p>
        </w:tc>
        <w:tc>
          <w:tcPr>
            <w:tcW w:type="dxa" w:w="1417"/>
            <w:shd w:val="clear" w:color="auto" w:fill="EAF7EE"/>
          </w:tcPr>
          <w:p>
            <w:pPr>
              <w:pStyle w:val="WS_TD"/>
              <w:spacing w:before="40" w:after="40"/>
            </w:pPr>
            <w:r>
              <w:t>100–200 g</w:t>
            </w:r>
          </w:p>
        </w:tc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Zip-lock — freeze</w:t>
            </w:r>
          </w:p>
        </w:tc>
        <w:tc>
          <w:tcPr>
            <w:tcW w:type="dxa" w:w="3969"/>
            <w:shd w:val="clear" w:color="auto" w:fill="EAF7EE"/>
          </w:tcPr>
          <w:p>
            <w:pPr>
              <w:pStyle w:val="WS_TD"/>
              <w:spacing w:before="40" w:after="40"/>
            </w:pPr>
            <w:r>
              <w:t>Metals, organochlorine, alkaloids, CPA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Kidney</w:t>
            </w:r>
          </w:p>
        </w:tc>
        <w:tc>
          <w:tcPr>
            <w:tcW w:type="dxa" w:w="1417"/>
            <w:shd w:val="clear" w:color="auto" w:fill="FFFFFF"/>
          </w:tcPr>
          <w:p>
            <w:pPr>
              <w:pStyle w:val="WS_TD"/>
              <w:spacing w:before="40" w:after="40"/>
            </w:pPr>
            <w:r>
              <w:t>50–100 g</w:t>
            </w:r>
          </w:p>
        </w:tc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Zip-lock — freeze</w:t>
            </w:r>
          </w:p>
        </w:tc>
        <w:tc>
          <w:tcPr>
            <w:tcW w:type="dxa" w:w="3969"/>
            <w:shd w:val="clear" w:color="auto" w:fill="FFFFFF"/>
          </w:tcPr>
          <w:p>
            <w:pPr>
              <w:pStyle w:val="WS_TD"/>
              <w:spacing w:before="40" w:after="40"/>
            </w:pPr>
            <w:r>
              <w:t>Heavy metals (Pb, Hg, Cd, As)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Blood (EDTA)</w:t>
            </w:r>
          </w:p>
        </w:tc>
        <w:tc>
          <w:tcPr>
            <w:tcW w:type="dxa" w:w="1417"/>
            <w:shd w:val="clear" w:color="auto" w:fill="EAF7EE"/>
          </w:tcPr>
          <w:p>
            <w:pPr>
              <w:pStyle w:val="WS_TD"/>
              <w:spacing w:before="40" w:after="40"/>
            </w:pPr>
            <w:r>
              <w:t>10 mL</w:t>
            </w:r>
          </w:p>
        </w:tc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EDTA — freeze</w:t>
            </w:r>
          </w:p>
        </w:tc>
        <w:tc>
          <w:tcPr>
            <w:tcW w:type="dxa" w:w="3969"/>
            <w:shd w:val="clear" w:color="auto" w:fill="EAF7EE"/>
          </w:tcPr>
          <w:p>
            <w:pPr>
              <w:pStyle w:val="WS_TD"/>
              <w:spacing w:before="40" w:after="40"/>
            </w:pPr>
            <w:r>
              <w:t>Organophosphate, nitrate, anticoagulants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Urine</w:t>
            </w:r>
          </w:p>
        </w:tc>
        <w:tc>
          <w:tcPr>
            <w:tcW w:type="dxa" w:w="1417"/>
            <w:shd w:val="clear" w:color="auto" w:fill="FFFFFF"/>
          </w:tcPr>
          <w:p>
            <w:pPr>
              <w:pStyle w:val="WS_TD"/>
              <w:spacing w:before="40" w:after="40"/>
            </w:pPr>
            <w:r>
              <w:t>50 mL</w:t>
            </w:r>
          </w:p>
        </w:tc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Sterile — freeze</w:t>
            </w:r>
          </w:p>
        </w:tc>
        <w:tc>
          <w:tcPr>
            <w:tcW w:type="dxa" w:w="3969"/>
            <w:shd w:val="clear" w:color="auto" w:fill="FFFFFF"/>
          </w:tcPr>
          <w:p>
            <w:pPr>
              <w:pStyle w:val="WS_TD"/>
              <w:spacing w:before="40" w:after="40"/>
            </w:pPr>
            <w:r>
              <w:t>Metals, pesticide metabolites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Bone marrow</w:t>
            </w:r>
          </w:p>
        </w:tc>
        <w:tc>
          <w:tcPr>
            <w:tcW w:type="dxa" w:w="1417"/>
            <w:shd w:val="clear" w:color="auto" w:fill="EAF7EE"/>
          </w:tcPr>
          <w:p>
            <w:pPr>
              <w:pStyle w:val="WS_TD"/>
              <w:spacing w:before="40" w:after="40"/>
            </w:pPr>
            <w:r>
              <w:t>5–10 g</w:t>
            </w:r>
          </w:p>
        </w:tc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Zip-lock — freeze</w:t>
            </w:r>
          </w:p>
        </w:tc>
        <w:tc>
          <w:tcPr>
            <w:tcW w:type="dxa" w:w="3969"/>
            <w:shd w:val="clear" w:color="auto" w:fill="EAF7EE"/>
          </w:tcPr>
          <w:p>
            <w:pPr>
              <w:pStyle w:val="WS_TD"/>
              <w:spacing w:before="40" w:after="40"/>
            </w:pPr>
            <w:r>
              <w:t>Chronic heavy metal exposure (Pb, Hg)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Feed/fodder sample</w:t>
            </w:r>
          </w:p>
        </w:tc>
        <w:tc>
          <w:tcPr>
            <w:tcW w:type="dxa" w:w="1417"/>
            <w:shd w:val="clear" w:color="auto" w:fill="FFFFFF"/>
          </w:tcPr>
          <w:p>
            <w:pPr>
              <w:pStyle w:val="WS_TD"/>
              <w:spacing w:before="40" w:after="40"/>
            </w:pPr>
            <w:r>
              <w:t>500 g</w:t>
            </w:r>
          </w:p>
        </w:tc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Zip-lock — freeze</w:t>
            </w:r>
          </w:p>
        </w:tc>
        <w:tc>
          <w:tcPr>
            <w:tcW w:type="dxa" w:w="3969"/>
            <w:shd w:val="clear" w:color="auto" w:fill="FFFFFF"/>
          </w:tcPr>
          <w:p>
            <w:pPr>
              <w:pStyle w:val="WS_TD"/>
              <w:spacing w:before="40" w:after="40"/>
            </w:pPr>
            <w:r>
              <w:t>Mycotoxins (CPA, aflatoxin), pesticide residues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Water sample</w:t>
            </w:r>
          </w:p>
        </w:tc>
        <w:tc>
          <w:tcPr>
            <w:tcW w:type="dxa" w:w="1417"/>
            <w:shd w:val="clear" w:color="auto" w:fill="EAF7EE"/>
          </w:tcPr>
          <w:p>
            <w:pPr>
              <w:pStyle w:val="WS_TD"/>
              <w:spacing w:before="40" w:after="40"/>
            </w:pPr>
            <w:r>
              <w:t>500 mL</w:t>
            </w:r>
          </w:p>
        </w:tc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Sterile bottle</w:t>
            </w:r>
          </w:p>
        </w:tc>
        <w:tc>
          <w:tcPr>
            <w:tcW w:type="dxa" w:w="3969"/>
            <w:shd w:val="clear" w:color="auto" w:fill="EAF7EE"/>
          </w:tcPr>
          <w:p>
            <w:pPr>
              <w:pStyle w:val="WS_TD"/>
              <w:spacing w:before="40" w:after="40"/>
            </w:pPr>
            <w:r>
              <w:t>Arsenic, cyanobacterial toxins, nitrate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Soil sample</w:t>
            </w:r>
          </w:p>
        </w:tc>
        <w:tc>
          <w:tcPr>
            <w:tcW w:type="dxa" w:w="1417"/>
            <w:shd w:val="clear" w:color="auto" w:fill="FFFFFF"/>
          </w:tcPr>
          <w:p>
            <w:pPr>
              <w:pStyle w:val="WS_TD"/>
              <w:spacing w:before="40" w:after="40"/>
            </w:pPr>
            <w:r>
              <w:t>200 g</w:t>
            </w:r>
          </w:p>
        </w:tc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Sterile bag</w:t>
            </w:r>
          </w:p>
        </w:tc>
        <w:tc>
          <w:tcPr>
            <w:tcW w:type="dxa" w:w="3969"/>
            <w:shd w:val="clear" w:color="auto" w:fill="FFFFFF"/>
          </w:tcPr>
          <w:p>
            <w:pPr>
              <w:pStyle w:val="WS_TD"/>
              <w:spacing w:before="40" w:after="40"/>
            </w:pPr>
            <w:r>
              <w:t>Arsenic, persistent organic pollutants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D8F3DC"/>
          </w:tcPr>
          <w:p>
            <w:pPr>
              <w:spacing w:before="80" w:after="80"/>
            </w:pPr>
            <w:r>
              <w:rPr>
                <w:b/>
                <w:color w:val="1B4332"/>
                <w:sz w:val="18"/>
              </w:rPr>
              <w:t>DO NOT mix samples. DO NOT use plastic containers for metal analysis (use glass). Label: animal ID, sample type, GPS, date, time, collector name.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2D6A4F"/>
          </w:tcPr>
          <w:p>
            <w:pPr>
              <w:pStyle w:val="WS_H1"/>
              <w:spacing w:before="40" w:after="40"/>
            </w:pPr>
            <w:r>
              <w:rPr>
                <w:b/>
                <w:color w:val="FFFFFF"/>
              </w:rPr>
              <w:t>5. Bacteriological &amp; Virological Examination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268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Test Type</w:t>
            </w:r>
          </w:p>
        </w:tc>
        <w:tc>
          <w:tcPr>
            <w:tcW w:type="dxa" w:w="2551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Samples Required</w:t>
            </w:r>
          </w:p>
        </w:tc>
        <w:tc>
          <w:tcPr>
            <w:tcW w:type="dxa" w:w="2268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Transport Conditions</w:t>
            </w:r>
          </w:p>
        </w:tc>
        <w:tc>
          <w:tcPr>
            <w:tcW w:type="dxa" w:w="2551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Turnaround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Aerobic culture</w:t>
            </w:r>
          </w:p>
        </w:tc>
        <w:tc>
          <w:tcPr>
            <w:tcW w:type="dxa" w:w="2551"/>
            <w:shd w:val="clear" w:color="auto" w:fill="FFFFFF"/>
          </w:tcPr>
          <w:p>
            <w:pPr>
              <w:pStyle w:val="WS_TD"/>
              <w:spacing w:before="40" w:after="40"/>
            </w:pPr>
            <w:r>
              <w:t>Spleen, lung, liver, LN — fresh sterile</w:t>
            </w:r>
          </w:p>
        </w:tc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Ice (4°C) — 24 hrs max</w:t>
            </w:r>
          </w:p>
        </w:tc>
        <w:tc>
          <w:tcPr>
            <w:tcW w:type="dxa" w:w="2551"/>
            <w:shd w:val="clear" w:color="auto" w:fill="FFFFFF"/>
          </w:tcPr>
          <w:p>
            <w:pPr>
              <w:pStyle w:val="WS_TD"/>
              <w:spacing w:before="40" w:after="40"/>
            </w:pPr>
            <w:r>
              <w:t>3–7 days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Anaerobic culture</w:t>
            </w:r>
          </w:p>
        </w:tc>
        <w:tc>
          <w:tcPr>
            <w:tcW w:type="dxa" w:w="2551"/>
            <w:shd w:val="clear" w:color="auto" w:fill="EAF7EE"/>
          </w:tcPr>
          <w:p>
            <w:pPr>
              <w:pStyle w:val="WS_TD"/>
              <w:spacing w:before="40" w:after="40"/>
            </w:pPr>
            <w:r>
              <w:t>Intestinal contents — special anaerobic swabs</w:t>
            </w:r>
          </w:p>
        </w:tc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Anaerobic transport medium</w:t>
            </w:r>
          </w:p>
        </w:tc>
        <w:tc>
          <w:tcPr>
            <w:tcW w:type="dxa" w:w="2551"/>
            <w:shd w:val="clear" w:color="auto" w:fill="EAF7EE"/>
          </w:tcPr>
          <w:p>
            <w:pPr>
              <w:pStyle w:val="WS_TD"/>
              <w:spacing w:before="40" w:after="40"/>
            </w:pPr>
            <w:r>
              <w:t>3–7 days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Virus isolation</w:t>
            </w:r>
          </w:p>
        </w:tc>
        <w:tc>
          <w:tcPr>
            <w:tcW w:type="dxa" w:w="2551"/>
            <w:shd w:val="clear" w:color="auto" w:fill="FFFFFF"/>
          </w:tcPr>
          <w:p>
            <w:pPr>
              <w:pStyle w:val="WS_TD"/>
              <w:spacing w:before="40" w:after="40"/>
            </w:pPr>
            <w:r>
              <w:t>Lung, spleen, brain — fresh or in VTM</w:t>
            </w:r>
          </w:p>
        </w:tc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-70°C or on dry ice</w:t>
            </w:r>
          </w:p>
        </w:tc>
        <w:tc>
          <w:tcPr>
            <w:tcW w:type="dxa" w:w="2551"/>
            <w:shd w:val="clear" w:color="auto" w:fill="FFFFFF"/>
          </w:tcPr>
          <w:p>
            <w:pPr>
              <w:pStyle w:val="WS_TD"/>
              <w:spacing w:before="40" w:after="40"/>
            </w:pPr>
            <w:r>
              <w:t>1–3 weeks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PCR (bacterial)</w:t>
            </w:r>
          </w:p>
        </w:tc>
        <w:tc>
          <w:tcPr>
            <w:tcW w:type="dxa" w:w="2551"/>
            <w:shd w:val="clear" w:color="auto" w:fill="EAF7EE"/>
          </w:tcPr>
          <w:p>
            <w:pPr>
              <w:pStyle w:val="WS_TD"/>
              <w:spacing w:before="40" w:after="40"/>
            </w:pPr>
            <w:r>
              <w:t>Any tissue — fresh or fixed</w:t>
            </w:r>
          </w:p>
        </w:tc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Ice or freeze</w:t>
            </w:r>
          </w:p>
        </w:tc>
        <w:tc>
          <w:tcPr>
            <w:tcW w:type="dxa" w:w="2551"/>
            <w:shd w:val="clear" w:color="auto" w:fill="EAF7EE"/>
          </w:tcPr>
          <w:p>
            <w:pPr>
              <w:pStyle w:val="WS_TD"/>
              <w:spacing w:before="40" w:after="40"/>
            </w:pPr>
            <w:r>
              <w:t>3–5 days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PCR (viral — EEHV)</w:t>
            </w:r>
          </w:p>
        </w:tc>
        <w:tc>
          <w:tcPr>
            <w:tcW w:type="dxa" w:w="2551"/>
            <w:shd w:val="clear" w:color="auto" w:fill="FFFFFF"/>
          </w:tcPr>
          <w:p>
            <w:pPr>
              <w:pStyle w:val="WS_TD"/>
              <w:spacing w:before="40" w:after="40"/>
            </w:pPr>
            <w:r>
              <w:t>EDTA blood, trunk wash, spleen</w:t>
            </w:r>
          </w:p>
        </w:tc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Ice — urgent</w:t>
            </w:r>
          </w:p>
        </w:tc>
        <w:tc>
          <w:tcPr>
            <w:tcW w:type="dxa" w:w="2551"/>
            <w:shd w:val="clear" w:color="auto" w:fill="FFFFFF"/>
          </w:tcPr>
          <w:p>
            <w:pPr>
              <w:pStyle w:val="WS_TD"/>
              <w:spacing w:before="40" w:after="40"/>
            </w:pPr>
            <w:r>
              <w:t>24–48 hrs (ICAR-IVRI)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ELISA (serology)</w:t>
            </w:r>
          </w:p>
        </w:tc>
        <w:tc>
          <w:tcPr>
            <w:tcW w:type="dxa" w:w="2551"/>
            <w:shd w:val="clear" w:color="auto" w:fill="EAF7EE"/>
          </w:tcPr>
          <w:p>
            <w:pPr>
              <w:pStyle w:val="WS_TD"/>
              <w:spacing w:before="40" w:after="40"/>
            </w:pPr>
            <w:r>
              <w:t>Serum (2 samples 3 wks apart)</w:t>
            </w:r>
          </w:p>
        </w:tc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Freeze serum</w:t>
            </w:r>
          </w:p>
        </w:tc>
        <w:tc>
          <w:tcPr>
            <w:tcW w:type="dxa" w:w="2551"/>
            <w:shd w:val="clear" w:color="auto" w:fill="EAF7EE"/>
          </w:tcPr>
          <w:p>
            <w:pPr>
              <w:pStyle w:val="WS_TD"/>
              <w:spacing w:before="40" w:after="40"/>
            </w:pPr>
            <w:r>
              <w:t>1–3 days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2D6A4F"/>
          </w:tcPr>
          <w:p>
            <w:pPr>
              <w:pStyle w:val="WS_H1"/>
              <w:spacing w:before="40" w:after="40"/>
            </w:pPr>
            <w:r>
              <w:rPr>
                <w:b/>
                <w:color w:val="FFFFFF"/>
              </w:rPr>
              <w:t>6. Packing &amp; Transport</w:t>
            </w:r>
          </w:p>
        </w:tc>
      </w:tr>
    </w:tbl>
    <w:p/>
    <w:p>
      <w:pPr>
        <w:pStyle w:val="WS_H2"/>
        <w:ind w:left="170"/>
      </w:pPr>
      <w:r>
        <w:rPr>
          <w:b/>
          <w:color w:val="2D6A4F"/>
        </w:rPr>
        <w:t>10-Step Packing Protocol</w:t>
      </w:r>
    </w:p>
    <w:p>
      <w:pPr>
        <w:pStyle w:val="WS_Bullet"/>
        <w:ind w:left="283" w:hanging="170"/>
      </w:pPr>
      <w:r>
        <w:t>• 1. Label ALL containers before collection — use waterproof marker, never adhesive labels alone</w:t>
      </w:r>
    </w:p>
    <w:p>
      <w:pPr>
        <w:pStyle w:val="WS_Bullet"/>
        <w:ind w:left="283" w:hanging="170"/>
      </w:pPr>
      <w:r>
        <w:t>• 2. Fill primary container (tube/jar) — leave 10% headspace for expansion</w:t>
      </w:r>
    </w:p>
    <w:p>
      <w:pPr>
        <w:pStyle w:val="WS_Bullet"/>
        <w:ind w:left="283" w:hanging="170"/>
      </w:pPr>
      <w:r>
        <w:t>• 3. Seal with parafilm + tape — double-seal for liquid samples</w:t>
      </w:r>
    </w:p>
    <w:p>
      <w:pPr>
        <w:pStyle w:val="WS_Bullet"/>
        <w:ind w:left="283" w:hanging="170"/>
      </w:pPr>
      <w:r>
        <w:t>• 4. Wrap in absorbent material (cotton wool/paper) — enough to absorb total volume</w:t>
      </w:r>
    </w:p>
    <w:p>
      <w:pPr>
        <w:pStyle w:val="WS_Bullet"/>
        <w:ind w:left="283" w:hanging="170"/>
      </w:pPr>
      <w:r>
        <w:t>• 5. Place in secondary leak-proof container (zip-lock or screw-top)</w:t>
      </w:r>
    </w:p>
    <w:p>
      <w:pPr>
        <w:pStyle w:val="WS_Bullet"/>
        <w:ind w:left="283" w:hanging="170"/>
      </w:pPr>
      <w:r>
        <w:t>• 6. Pack secondary containers in triple-wall corrugated box with ice packs</w:t>
      </w:r>
    </w:p>
    <w:p>
      <w:pPr>
        <w:pStyle w:val="WS_Bullet"/>
        <w:ind w:left="283" w:hanging="170"/>
      </w:pPr>
      <w:r>
        <w:t>• 7. Insert completed sample submission form INSIDE box (not on outside only)</w:t>
      </w:r>
    </w:p>
    <w:p>
      <w:pPr>
        <w:pStyle w:val="WS_Bullet"/>
        <w:ind w:left="283" w:hanging="170"/>
      </w:pPr>
      <w:r>
        <w:t>• 8. Seal box with security tape — sign across seal</w:t>
      </w:r>
    </w:p>
    <w:p>
      <w:pPr>
        <w:pStyle w:val="WS_Bullet"/>
        <w:ind w:left="283" w:hanging="170"/>
      </w:pPr>
      <w:r>
        <w:t>• 9. Label outer box: BIOLOGICAL SPECIMEN — FRAGILE — KEEP COOL</w:t>
      </w:r>
    </w:p>
    <w:p>
      <w:pPr>
        <w:pStyle w:val="WS_Bullet"/>
        <w:ind w:left="283" w:hanging="170"/>
      </w:pPr>
      <w:r>
        <w:t>• 10. Notify laboratory before dispatch — confirm receipt within 24 hrs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2D6A4F"/>
          </w:tcPr>
          <w:p>
            <w:pPr>
              <w:pStyle w:val="WS_H1"/>
              <w:spacing w:before="40" w:after="40"/>
            </w:pPr>
            <w:r>
              <w:rPr>
                <w:b/>
                <w:color w:val="FFFFFF"/>
              </w:rPr>
              <w:t>7. Quick Master Reference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134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Priority</w:t>
            </w:r>
          </w:p>
        </w:tc>
        <w:tc>
          <w:tcPr>
            <w:tcW w:type="dxa" w:w="1701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Sample</w:t>
            </w:r>
          </w:p>
        </w:tc>
        <w:tc>
          <w:tcPr>
            <w:tcW w:type="dxa" w:w="1984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Container</w:t>
            </w:r>
          </w:p>
        </w:tc>
        <w:tc>
          <w:tcPr>
            <w:tcW w:type="dxa" w:w="1417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Temp</w:t>
            </w:r>
          </w:p>
        </w:tc>
        <w:tc>
          <w:tcPr>
            <w:tcW w:type="dxa" w:w="3402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Do NOT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pPr>
              <w:pStyle w:val="WS_TD"/>
              <w:spacing w:before="40" w:after="40"/>
            </w:pPr>
            <w:r>
              <w:t>URGENT</w:t>
            </w:r>
          </w:p>
        </w:tc>
        <w:tc>
          <w:tcPr>
            <w:tcW w:type="dxa" w:w="1701"/>
            <w:shd w:val="clear" w:color="auto" w:fill="FFFFFF"/>
          </w:tcPr>
          <w:p>
            <w:pPr>
              <w:pStyle w:val="WS_TD"/>
              <w:spacing w:before="40" w:after="40"/>
            </w:pPr>
            <w:r>
              <w:t>EDTA blood</w:t>
            </w:r>
          </w:p>
        </w:tc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Purple top</w:t>
            </w:r>
          </w:p>
        </w:tc>
        <w:tc>
          <w:tcPr>
            <w:tcW w:type="dxa" w:w="1417"/>
            <w:shd w:val="clear" w:color="auto" w:fill="FFFFFF"/>
          </w:tcPr>
          <w:p>
            <w:pPr>
              <w:pStyle w:val="WS_TD"/>
              <w:spacing w:before="40" w:after="40"/>
            </w:pPr>
            <w:r>
              <w:t>4°C (ice)</w:t>
            </w:r>
          </w:p>
        </w:tc>
        <w:tc>
          <w:tcPr>
            <w:tcW w:type="dxa" w:w="3402"/>
            <w:shd w:val="clear" w:color="auto" w:fill="FFFFFF"/>
          </w:tcPr>
          <w:p>
            <w:pPr>
              <w:pStyle w:val="WS_TD"/>
              <w:spacing w:before="40" w:after="40"/>
            </w:pPr>
            <w:r>
              <w:t>Freeze whole blood</w:t>
            </w:r>
          </w:p>
        </w:tc>
      </w:tr>
      <w:tr>
        <w:tc>
          <w:tcPr>
            <w:tcW w:type="dxa" w:w="1134"/>
            <w:shd w:val="clear" w:color="auto" w:fill="EAF7EE"/>
          </w:tcPr>
          <w:p>
            <w:pPr>
              <w:pStyle w:val="WS_TD"/>
              <w:spacing w:before="40" w:after="40"/>
            </w:pPr>
            <w:r>
              <w:t>URGENT</w:t>
            </w:r>
          </w:p>
        </w:tc>
        <w:tc>
          <w:tcPr>
            <w:tcW w:type="dxa" w:w="1701"/>
            <w:shd w:val="clear" w:color="auto" w:fill="EAF7EE"/>
          </w:tcPr>
          <w:p>
            <w:pPr>
              <w:pStyle w:val="WS_TD"/>
              <w:spacing w:before="40" w:after="40"/>
            </w:pPr>
            <w:r>
              <w:t>Trunk swab</w:t>
            </w:r>
          </w:p>
        </w:tc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VTM</w:t>
            </w:r>
          </w:p>
        </w:tc>
        <w:tc>
          <w:tcPr>
            <w:tcW w:type="dxa" w:w="1417"/>
            <w:shd w:val="clear" w:color="auto" w:fill="EAF7EE"/>
          </w:tcPr>
          <w:p>
            <w:pPr>
              <w:pStyle w:val="WS_TD"/>
              <w:spacing w:before="40" w:after="40"/>
            </w:pPr>
            <w:r>
              <w:t>4°C (ice)</w:t>
            </w:r>
          </w:p>
        </w:tc>
        <w:tc>
          <w:tcPr>
            <w:tcW w:type="dxa" w:w="3402"/>
            <w:shd w:val="clear" w:color="auto" w:fill="EAF7EE"/>
          </w:tcPr>
          <w:p>
            <w:pPr>
              <w:pStyle w:val="WS_TD"/>
              <w:spacing w:before="40" w:after="40"/>
            </w:pPr>
            <w:r>
              <w:t>Dry swab in plain tube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pPr>
              <w:pStyle w:val="WS_TD"/>
              <w:spacing w:before="40" w:after="40"/>
            </w:pPr>
            <w:r>
              <w:t>HIGH</w:t>
            </w:r>
          </w:p>
        </w:tc>
        <w:tc>
          <w:tcPr>
            <w:tcW w:type="dxa" w:w="1701"/>
            <w:shd w:val="clear" w:color="auto" w:fill="FFFFFF"/>
          </w:tcPr>
          <w:p>
            <w:pPr>
              <w:pStyle w:val="WS_TD"/>
              <w:spacing w:before="40" w:after="40"/>
            </w:pPr>
            <w:r>
              <w:t>Lung/Spleen/LN (fresh)</w:t>
            </w:r>
          </w:p>
        </w:tc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Sterile zip-lock</w:t>
            </w:r>
          </w:p>
        </w:tc>
        <w:tc>
          <w:tcPr>
            <w:tcW w:type="dxa" w:w="1417"/>
            <w:shd w:val="clear" w:color="auto" w:fill="FFFFFF"/>
          </w:tcPr>
          <w:p>
            <w:pPr>
              <w:pStyle w:val="WS_TD"/>
              <w:spacing w:before="40" w:after="40"/>
            </w:pPr>
            <w:r>
              <w:t>-20°C</w:t>
            </w:r>
          </w:p>
        </w:tc>
        <w:tc>
          <w:tcPr>
            <w:tcW w:type="dxa" w:w="3402"/>
            <w:shd w:val="clear" w:color="auto" w:fill="FFFFFF"/>
          </w:tcPr>
          <w:p>
            <w:pPr>
              <w:pStyle w:val="WS_TD"/>
              <w:spacing w:before="40" w:after="40"/>
            </w:pPr>
            <w:r>
              <w:t>Add formalin to fresh tissue</w:t>
            </w:r>
          </w:p>
        </w:tc>
      </w:tr>
      <w:tr>
        <w:tc>
          <w:tcPr>
            <w:tcW w:type="dxa" w:w="1134"/>
            <w:shd w:val="clear" w:color="auto" w:fill="EAF7EE"/>
          </w:tcPr>
          <w:p>
            <w:pPr>
              <w:pStyle w:val="WS_TD"/>
              <w:spacing w:before="40" w:after="40"/>
            </w:pPr>
            <w:r>
              <w:t>HIGH</w:t>
            </w:r>
          </w:p>
        </w:tc>
        <w:tc>
          <w:tcPr>
            <w:tcW w:type="dxa" w:w="1701"/>
            <w:shd w:val="clear" w:color="auto" w:fill="EAF7EE"/>
          </w:tcPr>
          <w:p>
            <w:pPr>
              <w:pStyle w:val="WS_TD"/>
              <w:spacing w:before="40" w:after="40"/>
            </w:pPr>
            <w:r>
              <w:t>Lung/Liver (fixed)</w:t>
            </w:r>
          </w:p>
        </w:tc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10% NBF in jar</w:t>
            </w:r>
          </w:p>
        </w:tc>
        <w:tc>
          <w:tcPr>
            <w:tcW w:type="dxa" w:w="1417"/>
            <w:shd w:val="clear" w:color="auto" w:fill="EAF7EE"/>
          </w:tcPr>
          <w:p>
            <w:pPr>
              <w:pStyle w:val="WS_TD"/>
              <w:spacing w:before="40" w:after="40"/>
            </w:pPr>
            <w:r>
              <w:t>Room temp</w:t>
            </w:r>
          </w:p>
        </w:tc>
        <w:tc>
          <w:tcPr>
            <w:tcW w:type="dxa" w:w="3402"/>
            <w:shd w:val="clear" w:color="auto" w:fill="EAF7EE"/>
          </w:tcPr>
          <w:p>
            <w:pPr>
              <w:pStyle w:val="WS_TD"/>
              <w:spacing w:before="40" w:after="40"/>
            </w:pPr>
            <w:r>
              <w:t>Over-fix (&gt;72 hrs) or freeze in NBF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pPr>
              <w:pStyle w:val="WS_TD"/>
              <w:spacing w:before="40" w:after="40"/>
            </w:pPr>
            <w:r>
              <w:t>HIGH</w:t>
            </w:r>
          </w:p>
        </w:tc>
        <w:tc>
          <w:tcPr>
            <w:tcW w:type="dxa" w:w="1701"/>
            <w:shd w:val="clear" w:color="auto" w:fill="FFFFFF"/>
          </w:tcPr>
          <w:p>
            <w:pPr>
              <w:pStyle w:val="WS_TD"/>
              <w:spacing w:before="40" w:after="40"/>
            </w:pPr>
            <w:r>
              <w:t>Stomach contents</w:t>
            </w:r>
          </w:p>
        </w:tc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Wide-mouth sterile jar</w:t>
            </w:r>
          </w:p>
        </w:tc>
        <w:tc>
          <w:tcPr>
            <w:tcW w:type="dxa" w:w="1417"/>
            <w:shd w:val="clear" w:color="auto" w:fill="FFFFFF"/>
          </w:tcPr>
          <w:p>
            <w:pPr>
              <w:pStyle w:val="WS_TD"/>
              <w:spacing w:before="40" w:after="40"/>
            </w:pPr>
            <w:r>
              <w:t>-20°C</w:t>
            </w:r>
          </w:p>
        </w:tc>
        <w:tc>
          <w:tcPr>
            <w:tcW w:type="dxa" w:w="3402"/>
            <w:shd w:val="clear" w:color="auto" w:fill="FFFFFF"/>
          </w:tcPr>
          <w:p>
            <w:pPr>
              <w:pStyle w:val="WS_TD"/>
              <w:spacing w:before="40" w:after="40"/>
            </w:pPr>
            <w:r>
              <w:t>Add preservatives</w:t>
            </w:r>
          </w:p>
        </w:tc>
      </w:tr>
      <w:tr>
        <w:tc>
          <w:tcPr>
            <w:tcW w:type="dxa" w:w="1134"/>
            <w:shd w:val="clear" w:color="auto" w:fill="EAF7EE"/>
          </w:tcPr>
          <w:p>
            <w:pPr>
              <w:pStyle w:val="WS_TD"/>
              <w:spacing w:before="40" w:after="40"/>
            </w:pPr>
            <w:r>
              <w:t>HIGH</w:t>
            </w:r>
          </w:p>
        </w:tc>
        <w:tc>
          <w:tcPr>
            <w:tcW w:type="dxa" w:w="1701"/>
            <w:shd w:val="clear" w:color="auto" w:fill="EAF7EE"/>
          </w:tcPr>
          <w:p>
            <w:pPr>
              <w:pStyle w:val="WS_TD"/>
              <w:spacing w:before="40" w:after="40"/>
            </w:pPr>
            <w:r>
              <w:t>Serum</w:t>
            </w:r>
          </w:p>
        </w:tc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Red top → aliquot</w:t>
            </w:r>
          </w:p>
        </w:tc>
        <w:tc>
          <w:tcPr>
            <w:tcW w:type="dxa" w:w="1417"/>
            <w:shd w:val="clear" w:color="auto" w:fill="EAF7EE"/>
          </w:tcPr>
          <w:p>
            <w:pPr>
              <w:pStyle w:val="WS_TD"/>
              <w:spacing w:before="40" w:after="40"/>
            </w:pPr>
            <w:r>
              <w:t>-20°C</w:t>
            </w:r>
          </w:p>
        </w:tc>
        <w:tc>
          <w:tcPr>
            <w:tcW w:type="dxa" w:w="3402"/>
            <w:shd w:val="clear" w:color="auto" w:fill="EAF7EE"/>
          </w:tcPr>
          <w:p>
            <w:pPr>
              <w:pStyle w:val="WS_TD"/>
              <w:spacing w:before="40" w:after="40"/>
            </w:pPr>
            <w:r>
              <w:t>Haemolyse — centrifuge early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pPr>
              <w:pStyle w:val="WS_TD"/>
              <w:spacing w:before="40" w:after="40"/>
            </w:pPr>
            <w:r>
              <w:t>MOD</w:t>
            </w:r>
          </w:p>
        </w:tc>
        <w:tc>
          <w:tcPr>
            <w:tcW w:type="dxa" w:w="1701"/>
            <w:shd w:val="clear" w:color="auto" w:fill="FFFFFF"/>
          </w:tcPr>
          <w:p>
            <w:pPr>
              <w:pStyle w:val="WS_TD"/>
              <w:spacing w:before="40" w:after="40"/>
            </w:pPr>
            <w:r>
              <w:t>Bone marrow</w:t>
            </w:r>
          </w:p>
        </w:tc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EDTA or dry sterile</w:t>
            </w:r>
          </w:p>
        </w:tc>
        <w:tc>
          <w:tcPr>
            <w:tcW w:type="dxa" w:w="1417"/>
            <w:shd w:val="clear" w:color="auto" w:fill="FFFFFF"/>
          </w:tcPr>
          <w:p>
            <w:pPr>
              <w:pStyle w:val="WS_TD"/>
              <w:spacing w:before="40" w:after="40"/>
            </w:pPr>
            <w:r>
              <w:t>-20°C</w:t>
            </w:r>
          </w:p>
        </w:tc>
        <w:tc>
          <w:tcPr>
            <w:tcW w:type="dxa" w:w="3402"/>
            <w:shd w:val="clear" w:color="auto" w:fill="FFFFFF"/>
          </w:tcPr>
          <w:p>
            <w:pPr>
              <w:pStyle w:val="WS_TD"/>
              <w:spacing w:before="40" w:after="40"/>
            </w:pPr>
            <w:r>
              <w:t>Air-dry; contaminate</w:t>
            </w:r>
          </w:p>
        </w:tc>
      </w:tr>
      <w:tr>
        <w:tc>
          <w:tcPr>
            <w:tcW w:type="dxa" w:w="1134"/>
            <w:shd w:val="clear" w:color="auto" w:fill="EAF7EE"/>
          </w:tcPr>
          <w:p>
            <w:pPr>
              <w:pStyle w:val="WS_TD"/>
              <w:spacing w:before="40" w:after="40"/>
            </w:pPr>
            <w:r>
              <w:t>MOD</w:t>
            </w:r>
          </w:p>
        </w:tc>
        <w:tc>
          <w:tcPr>
            <w:tcW w:type="dxa" w:w="1701"/>
            <w:shd w:val="clear" w:color="auto" w:fill="EAF7EE"/>
          </w:tcPr>
          <w:p>
            <w:pPr>
              <w:pStyle w:val="WS_TD"/>
              <w:spacing w:before="40" w:after="40"/>
            </w:pPr>
            <w:r>
              <w:t>Faeces</w:t>
            </w:r>
          </w:p>
        </w:tc>
        <w:tc>
          <w:tcPr>
            <w:tcW w:type="dxa" w:w="1984"/>
            <w:shd w:val="clear" w:color="auto" w:fill="EAF7EE"/>
          </w:tcPr>
          <w:p>
            <w:pPr>
              <w:pStyle w:val="WS_TD"/>
              <w:spacing w:before="40" w:after="40"/>
            </w:pPr>
            <w:r>
              <w:t>Sterile container</w:t>
            </w:r>
          </w:p>
        </w:tc>
        <w:tc>
          <w:tcPr>
            <w:tcW w:type="dxa" w:w="1417"/>
            <w:shd w:val="clear" w:color="auto" w:fill="EAF7EE"/>
          </w:tcPr>
          <w:p>
            <w:pPr>
              <w:pStyle w:val="WS_TD"/>
              <w:spacing w:before="40" w:after="40"/>
            </w:pPr>
            <w:r>
              <w:t>4°C</w:t>
            </w:r>
          </w:p>
        </w:tc>
        <w:tc>
          <w:tcPr>
            <w:tcW w:type="dxa" w:w="3402"/>
            <w:shd w:val="clear" w:color="auto" w:fill="EAF7EE"/>
          </w:tcPr>
          <w:p>
            <w:pPr>
              <w:pStyle w:val="WS_TD"/>
              <w:spacing w:before="40" w:after="40"/>
            </w:pPr>
            <w:r>
              <w:t>Use household container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pPr>
              <w:pStyle w:val="WS_TD"/>
              <w:spacing w:before="40" w:after="40"/>
            </w:pPr>
            <w:r>
              <w:t>MOD</w:t>
            </w:r>
          </w:p>
        </w:tc>
        <w:tc>
          <w:tcPr>
            <w:tcW w:type="dxa" w:w="1701"/>
            <w:shd w:val="clear" w:color="auto" w:fill="FFFFFF"/>
          </w:tcPr>
          <w:p>
            <w:pPr>
              <w:pStyle w:val="WS_TD"/>
              <w:spacing w:before="40" w:after="40"/>
            </w:pPr>
            <w:r>
              <w:t>Urine</w:t>
            </w:r>
          </w:p>
        </w:tc>
        <w:tc>
          <w:tcPr>
            <w:tcW w:type="dxa" w:w="1984"/>
            <w:shd w:val="clear" w:color="auto" w:fill="FFFFFF"/>
          </w:tcPr>
          <w:p>
            <w:pPr>
              <w:pStyle w:val="WS_TD"/>
              <w:spacing w:before="40" w:after="40"/>
            </w:pPr>
            <w:r>
              <w:t>Sterile container</w:t>
            </w:r>
          </w:p>
        </w:tc>
        <w:tc>
          <w:tcPr>
            <w:tcW w:type="dxa" w:w="1417"/>
            <w:shd w:val="clear" w:color="auto" w:fill="FFFFFF"/>
          </w:tcPr>
          <w:p>
            <w:pPr>
              <w:pStyle w:val="WS_TD"/>
              <w:spacing w:before="40" w:after="40"/>
            </w:pPr>
            <w:r>
              <w:t>4°C/-20°C</w:t>
            </w:r>
          </w:p>
        </w:tc>
        <w:tc>
          <w:tcPr>
            <w:tcW w:type="dxa" w:w="3402"/>
            <w:shd w:val="clear" w:color="auto" w:fill="FFFFFF"/>
          </w:tcPr>
          <w:p>
            <w:pPr>
              <w:pStyle w:val="WS_TD"/>
              <w:spacing w:before="40" w:after="40"/>
            </w:pPr>
            <w:r>
              <w:t>Use urine dipstick container for culture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2D6A4F"/>
          </w:tcPr>
          <w:p>
            <w:pPr>
              <w:pStyle w:val="WS_H1"/>
              <w:spacing w:before="40" w:after="40"/>
            </w:pPr>
            <w:r>
              <w:rPr>
                <w:b/>
                <w:color w:val="FFFFFF"/>
              </w:rPr>
              <w:t>8. National Referral Laboratories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268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Laboratory</w:t>
            </w:r>
          </w:p>
        </w:tc>
        <w:tc>
          <w:tcPr>
            <w:tcW w:type="dxa" w:w="4535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Tests</w:t>
            </w:r>
          </w:p>
        </w:tc>
        <w:tc>
          <w:tcPr>
            <w:tcW w:type="dxa" w:w="2835"/>
            <w:shd w:val="clear" w:color="auto" w:fill="2D6A4F"/>
          </w:tcPr>
          <w:p>
            <w:pPr>
              <w:pStyle w:val="WS_TH"/>
              <w:spacing w:before="60" w:after="60"/>
            </w:pPr>
            <w:r>
              <w:rPr>
                <w:b/>
                <w:color w:val="FFFFFF"/>
              </w:rPr>
              <w:t>Contact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ICAR-IVRI, Bareilly (UP)</w:t>
            </w:r>
          </w:p>
        </w:tc>
        <w:tc>
          <w:tcPr>
            <w:tcW w:type="dxa" w:w="45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EEHV PCR, histopathology, bacteriology, toxicology, serology, virology</w:t>
            </w:r>
          </w:p>
        </w:tc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Dir: 0581-2301502 | ivri@icar.org.in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NDVSU, Jabalpur (MP)</w:t>
            </w:r>
          </w:p>
        </w:tc>
        <w:tc>
          <w:tcPr>
            <w:tcW w:type="dxa" w:w="45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Wildlife pathology, toxicology, PM diagnosis, histopath</w:t>
            </w:r>
          </w:p>
        </w:tc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0761-2600204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WII, Dehradun (UK)</w:t>
            </w:r>
          </w:p>
        </w:tc>
        <w:tc>
          <w:tcPr>
            <w:tcW w:type="dxa" w:w="45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Wildlife disease surveillance, population health, ecological studies</w:t>
            </w:r>
          </w:p>
        </w:tc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0135-2640112</w:t>
            </w:r>
          </w:p>
        </w:tc>
      </w:tr>
      <w:tr>
        <w:tc>
          <w:tcPr>
            <w:tcW w:type="dxa" w:w="2268"/>
            <w:shd w:val="clear" w:color="auto" w:fill="EAF7EE"/>
          </w:tcPr>
          <w:p>
            <w:pPr>
              <w:pStyle w:val="WS_TD"/>
              <w:spacing w:before="40" w:after="40"/>
            </w:pPr>
            <w:r>
              <w:t>NRC on Equines, Hisar</w:t>
            </w:r>
          </w:p>
        </w:tc>
        <w:tc>
          <w:tcPr>
            <w:tcW w:type="dxa" w:w="45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Equid diseases, some elephant pathogens as referral</w:t>
            </w:r>
          </w:p>
        </w:tc>
        <w:tc>
          <w:tcPr>
            <w:tcW w:type="dxa" w:w="2835"/>
            <w:shd w:val="clear" w:color="auto" w:fill="EAF7EE"/>
          </w:tcPr>
          <w:p>
            <w:pPr>
              <w:pStyle w:val="WS_TD"/>
              <w:spacing w:before="40" w:after="40"/>
            </w:pPr>
            <w:r>
              <w:t>01662-276702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pStyle w:val="WS_TD"/>
              <w:spacing w:before="40" w:after="40"/>
            </w:pPr>
            <w:r>
              <w:t>NCDC, Delhi</w:t>
            </w:r>
          </w:p>
        </w:tc>
        <w:tc>
          <w:tcPr>
            <w:tcW w:type="dxa" w:w="45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Zoonotic disease, public health — anthrax, rabies, TB confirmation</w:t>
            </w:r>
          </w:p>
        </w:tc>
        <w:tc>
          <w:tcPr>
            <w:tcW w:type="dxa" w:w="2835"/>
            <w:shd w:val="clear" w:color="auto" w:fill="FFFFFF"/>
          </w:tcPr>
          <w:p>
            <w:pPr>
              <w:pStyle w:val="WS_TD"/>
              <w:spacing w:before="40" w:after="40"/>
            </w:pPr>
            <w:r>
              <w:t>011-23921401</w:t>
            </w:r>
          </w:p>
        </w:tc>
      </w:tr>
    </w:tbl>
    <w:p/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WS_Title">
    <w:name w:val="WS_Title"/>
    <w:basedOn w:val="Normal"/>
    <w:pPr>
      <w:spacing w:before="0" w:after="80"/>
      <w:jc w:val="center"/>
    </w:pPr>
    <w:rPr>
      <w:rFonts w:ascii="Calibri" w:hAnsi="Calibri"/>
      <w:b/>
      <w:i w:val="0"/>
      <w:color w:val="FFFFFF"/>
      <w:sz w:val="36"/>
    </w:rPr>
  </w:style>
  <w:style w:type="paragraph" w:customStyle="1" w:styleId="WS_Sub">
    <w:name w:val="WS_Sub"/>
    <w:basedOn w:val="Normal"/>
    <w:pPr>
      <w:spacing w:before="0" w:after="40"/>
      <w:jc w:val="center"/>
    </w:pPr>
    <w:rPr>
      <w:rFonts w:ascii="Calibri" w:hAnsi="Calibri"/>
      <w:b w:val="0"/>
      <w:i/>
      <w:color w:val="D8F3DC"/>
      <w:sz w:val="20"/>
    </w:rPr>
  </w:style>
  <w:style w:type="paragraph" w:customStyle="1" w:styleId="WS_H1">
    <w:name w:val="WS_H1"/>
    <w:basedOn w:val="Normal"/>
    <w:pPr>
      <w:spacing w:before="160" w:after="40"/>
    </w:pPr>
    <w:rPr>
      <w:rFonts w:ascii="Calibri" w:hAnsi="Calibri"/>
      <w:b/>
      <w:i w:val="0"/>
      <w:color w:val="FFFFFF"/>
      <w:sz w:val="22"/>
    </w:rPr>
  </w:style>
  <w:style w:type="paragraph" w:customStyle="1" w:styleId="WS_H2">
    <w:name w:val="WS_H2"/>
    <w:basedOn w:val="Normal"/>
    <w:pPr>
      <w:spacing w:before="120" w:after="40"/>
    </w:pPr>
    <w:rPr>
      <w:rFonts w:ascii="Calibri" w:hAnsi="Calibri"/>
      <w:b/>
      <w:i w:val="0"/>
      <w:color w:val="1B4332"/>
      <w:sz w:val="20"/>
    </w:rPr>
  </w:style>
  <w:style w:type="paragraph" w:customStyle="1" w:styleId="WS_Body">
    <w:name w:val="WS_Body"/>
    <w:basedOn w:val="Normal"/>
    <w:pPr>
      <w:spacing w:before="0" w:after="80"/>
    </w:pPr>
    <w:rPr>
      <w:rFonts w:ascii="Calibri" w:hAnsi="Calibri"/>
      <w:b w:val="0"/>
      <w:i w:val="0"/>
      <w:color w:val="1A1A1A"/>
      <w:sz w:val="19"/>
    </w:rPr>
  </w:style>
  <w:style w:type="paragraph" w:customStyle="1" w:styleId="WS_Bold">
    <w:name w:val="WS_Bold"/>
    <w:basedOn w:val="Normal"/>
    <w:pPr>
      <w:spacing w:before="0" w:after="80"/>
    </w:pPr>
    <w:rPr>
      <w:rFonts w:ascii="Calibri" w:hAnsi="Calibri"/>
      <w:b/>
      <w:i w:val="0"/>
      <w:color w:val="1A1A1A"/>
      <w:sz w:val="19"/>
    </w:rPr>
  </w:style>
  <w:style w:type="paragraph" w:customStyle="1" w:styleId="WS_Bullet">
    <w:name w:val="WS_Bullet"/>
    <w:basedOn w:val="Normal"/>
    <w:pPr>
      <w:spacing w:before="0" w:after="40"/>
    </w:pPr>
    <w:rPr>
      <w:rFonts w:ascii="Calibri" w:hAnsi="Calibri"/>
      <w:b w:val="0"/>
      <w:i w:val="0"/>
      <w:color w:val="1A1A1A"/>
      <w:sz w:val="18"/>
    </w:rPr>
  </w:style>
  <w:style w:type="paragraph" w:customStyle="1" w:styleId="WS_Caption">
    <w:name w:val="WS_Caption"/>
    <w:basedOn w:val="Normal"/>
    <w:pPr>
      <w:spacing w:before="0" w:after="80"/>
      <w:jc w:val="center"/>
    </w:pPr>
    <w:rPr>
      <w:rFonts w:ascii="Calibri" w:hAnsi="Calibri"/>
      <w:b w:val="0"/>
      <w:i/>
      <w:color w:val="555555"/>
      <w:sz w:val="16"/>
    </w:rPr>
  </w:style>
  <w:style w:type="paragraph" w:customStyle="1" w:styleId="WS_TH">
    <w:name w:val="WS_TH"/>
    <w:basedOn w:val="Normal"/>
    <w:pPr>
      <w:spacing w:before="0" w:after="0"/>
      <w:jc w:val="center"/>
    </w:pPr>
    <w:rPr>
      <w:rFonts w:ascii="Calibri" w:hAnsi="Calibri"/>
      <w:b/>
      <w:i w:val="0"/>
      <w:color w:val="FFFFFF"/>
      <w:sz w:val="17"/>
    </w:rPr>
  </w:style>
  <w:style w:type="paragraph" w:customStyle="1" w:styleId="WS_TD">
    <w:name w:val="WS_TD"/>
    <w:basedOn w:val="Normal"/>
    <w:pPr>
      <w:spacing w:before="0" w:after="0"/>
    </w:pPr>
    <w:rPr>
      <w:rFonts w:ascii="Calibri" w:hAnsi="Calibri"/>
      <w:b w:val="0"/>
      <w:i w:val="0"/>
      <w:color w:val="1A1A1A"/>
      <w:sz w:val="17"/>
    </w:rPr>
  </w:style>
  <w:style w:type="paragraph" w:customStyle="1" w:styleId="WS_TDC">
    <w:name w:val="WS_TDC"/>
    <w:basedOn w:val="Normal"/>
    <w:pPr>
      <w:spacing w:before="0" w:after="0"/>
      <w:jc w:val="center"/>
    </w:pPr>
    <w:rPr>
      <w:rFonts w:ascii="Calibri" w:hAnsi="Calibri"/>
      <w:b w:val="0"/>
      <w:i w:val="0"/>
      <w:color w:val="1A1A1A"/>
      <w:sz w:val="17"/>
    </w:rPr>
  </w:style>
  <w:style w:type="paragraph" w:customStyle="1" w:styleId="WS_TDB">
    <w:name w:val="WS_TDB"/>
    <w:basedOn w:val="Normal"/>
    <w:pPr>
      <w:spacing w:before="0" w:after="0"/>
    </w:pPr>
    <w:rPr>
      <w:rFonts w:ascii="Calibri" w:hAnsi="Calibri"/>
      <w:b/>
      <w:i w:val="0"/>
      <w:color w:val="1B4332"/>
      <w:sz w:val="17"/>
    </w:rPr>
  </w:style>
  <w:style w:type="paragraph" w:customStyle="1" w:styleId="WS_Note">
    <w:name w:val="WS_Note"/>
    <w:basedOn w:val="Normal"/>
    <w:pPr>
      <w:spacing w:before="0" w:after="60"/>
    </w:pPr>
    <w:rPr>
      <w:rFonts w:ascii="Calibri" w:hAnsi="Calibri"/>
      <w:b w:val="0"/>
      <w:i/>
      <w:color w:val="C0392B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4 — Biological Sample Collection for Wildlife Disease Diagnosis</dc:title>
  <dc:subject/>
  <dc:creator>Chhattisgarh Forest Department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