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4332"/>
          </w:tcPr>
          <w:p>
            <w:pPr>
              <w:pStyle w:val="WS_Title"/>
              <w:spacing w:before="120" w:after="120"/>
            </w:pPr>
            <w:r>
              <w:rPr>
                <w:color w:val="52B788"/>
                <w:sz w:val="16"/>
              </w:rPr>
              <w:t>CHAPTER 5</w:t>
            </w:r>
            <w:r>
              <w:br/>
            </w:r>
            <w:r>
              <w:rPr>
                <w:b/>
                <w:color w:val="FFFFFF"/>
                <w:sz w:val="32"/>
              </w:rPr>
              <w:t>Non-Infectious Diseases in Asian Elephants</w:t>
            </w:r>
            <w:r>
              <w:br/>
            </w:r>
            <w:r>
              <w:rPr>
                <w:i/>
                <w:color w:val="D8F3DC"/>
                <w:sz w:val="19"/>
              </w:rPr>
              <w:t>Toxicoses, Physical Trauma, Nutritional Deficiencies &amp; Field Investigation</w:t>
            </w:r>
            <w:r>
              <w:br/>
              <w:br/>
            </w:r>
            <w:r>
              <w:rPr>
                <w:color w:val="D8F3DC"/>
                <w:sz w:val="17"/>
              </w:rPr>
              <w:t>Dr. Karikalan Mathesh  |  ICAR-IVRI, Bareilly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1. Background — Why Elephants Are Biologically Distinct</w:t>
            </w:r>
          </w:p>
        </w:tc>
      </w:tr>
    </w:tbl>
    <w:p/>
    <w:p>
      <w:pPr>
        <w:pStyle w:val="WS_Body"/>
      </w:pPr>
      <w:r>
        <w:t>Understanding elephant biology is essential to interpreting non-infectious disease pathology. Several unique features make elephants both resistant to some conditions (e.g. cancer — Peto's Paradox) and exceptionally vulnerable to others (e.g. mycotoxin toxicosis, electrocution, heat stress).</w:t>
      </w:r>
    </w:p>
    <w:p>
      <w:pPr>
        <w:pStyle w:val="WS_H2"/>
        <w:ind w:left="170"/>
      </w:pPr>
      <w:r>
        <w:rPr>
          <w:b/>
          <w:color w:val="2D6A4F"/>
        </w:rPr>
        <w:t>Cancer Resistance — Peto's Paradox</w:t>
      </w:r>
    </w:p>
    <w:p>
      <w:pPr>
        <w:pStyle w:val="WS_Body"/>
      </w:pPr>
      <w:r>
        <w:t>Despite their massive body size and long lifespan, elephants rarely develop cancer. This appears to be due to 20 copies of the TP53 tumour-suppressor gene (humans have 2). Elephants also show enhanced p53-mediated apoptosis — damaged cells are eliminated before malignant transformation. This is one of the most remarkable evolutionary adaptations in mammalian oncology.</w:t>
      </w:r>
    </w:p>
    <w:p>
      <w:pPr>
        <w:pStyle w:val="WS_H2"/>
        <w:ind w:left="170"/>
      </w:pPr>
      <w:r>
        <w:rPr>
          <w:b/>
          <w:color w:val="2D6A4F"/>
        </w:rPr>
        <w:t>High Susceptibility to Toxicity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Factor</w:t>
            </w:r>
          </w:p>
        </w:tc>
        <w:tc>
          <w:tcPr>
            <w:tcW w:type="dxa" w:w="6803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Implication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Large body mass</w:t>
            </w:r>
          </w:p>
        </w:tc>
        <w:tc>
          <w:tcPr>
            <w:tcW w:type="dxa" w:w="6803"/>
            <w:shd w:val="clear" w:color="auto" w:fill="FFFFFF"/>
          </w:tcPr>
          <w:p>
            <w:pPr>
              <w:pStyle w:val="WS_TD"/>
              <w:spacing w:before="40" w:after="40"/>
            </w:pPr>
            <w:r>
              <w:t>Requires enormous food intake → higher exposure to contaminated feed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Hindgut fermentation</w:t>
            </w:r>
          </w:p>
        </w:tc>
        <w:tc>
          <w:tcPr>
            <w:tcW w:type="dxa" w:w="6803"/>
            <w:shd w:val="clear" w:color="auto" w:fill="EAF7EE"/>
          </w:tcPr>
          <w:p>
            <w:pPr>
              <w:pStyle w:val="WS_TD"/>
              <w:spacing w:before="40" w:after="40"/>
            </w:pPr>
            <w:r>
              <w:t>Mycotoxins in feed amplified by gut flora; longer gut transit time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Low metabolic rate</w:t>
            </w:r>
          </w:p>
        </w:tc>
        <w:tc>
          <w:tcPr>
            <w:tcW w:type="dxa" w:w="6803"/>
            <w:shd w:val="clear" w:color="auto" w:fill="FFFFFF"/>
          </w:tcPr>
          <w:p>
            <w:pPr>
              <w:pStyle w:val="WS_TD"/>
              <w:spacing w:before="40" w:after="40"/>
            </w:pPr>
            <w:r>
              <w:t>Slower toxin clearance compared to smaller mammals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Indiscriminate feeding (stressed)</w:t>
            </w:r>
          </w:p>
        </w:tc>
        <w:tc>
          <w:tcPr>
            <w:tcW w:type="dxa" w:w="6803"/>
            <w:shd w:val="clear" w:color="auto" w:fill="EAF7EE"/>
          </w:tcPr>
          <w:p>
            <w:pPr>
              <w:pStyle w:val="WS_TD"/>
              <w:spacing w:before="40" w:after="40"/>
            </w:pPr>
            <w:r>
              <w:t>Captive/crop-raiding elephants consume contaminated grain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Rumen bypass</w:t>
            </w:r>
          </w:p>
        </w:tc>
        <w:tc>
          <w:tcPr>
            <w:tcW w:type="dxa" w:w="6803"/>
            <w:shd w:val="clear" w:color="auto" w:fill="FFFFFF"/>
          </w:tcPr>
          <w:p>
            <w:pPr>
              <w:pStyle w:val="WS_TD"/>
              <w:spacing w:before="40" w:after="40"/>
            </w:pPr>
            <w:r>
              <w:t>No rumen biotransformation of toxins — absorbed directly from intestine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Sensitive endothelium</w:t>
            </w:r>
          </w:p>
        </w:tc>
        <w:tc>
          <w:tcPr>
            <w:tcW w:type="dxa" w:w="6803"/>
            <w:shd w:val="clear" w:color="auto" w:fill="EAF7EE"/>
          </w:tcPr>
          <w:p>
            <w:pPr>
              <w:pStyle w:val="WS_TD"/>
              <w:spacing w:before="40" w:after="40"/>
            </w:pPr>
            <w:r>
              <w:t>Vascular endothelium highly susceptible to oxidative toxin damage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2. Case Study — Mass Mortality at Bandhavgarh NP (Oct 2024)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DBD8"/>
          </w:tcPr>
          <w:p>
            <w:pPr>
              <w:spacing w:before="80" w:after="80"/>
            </w:pPr>
            <w:r>
              <w:rPr>
                <w:b/>
                <w:color w:val="C0392B"/>
                <w:sz w:val="18"/>
              </w:rPr>
              <w:t>October 2024: 10 Asian elephant deaths in Bandhavgarh Tiger Reserve over 4 days. Final diagnosis: Cyclopiazonic Acid (CPA) toxicosis from Kodo millet (Paspalum scrobiculatum). Confirmed by LC-MS at ICRISAT, Hyderabad.</w:t>
            </w:r>
          </w:p>
        </w:tc>
      </w:tr>
    </w:tbl>
    <w:p/>
    <w:p>
      <w:pPr>
        <w:pStyle w:val="WS_H2"/>
        <w:ind w:left="170"/>
      </w:pPr>
      <w:r>
        <w:rPr>
          <w:b/>
          <w:color w:val="2D6A4F"/>
        </w:rPr>
        <w:t>History &amp; Field Observations</w:t>
      </w:r>
    </w:p>
    <w:p>
      <w:pPr>
        <w:pStyle w:val="WS_Body"/>
      </w:pPr>
      <w:r>
        <w:t>Herd of ~10 elephants observed feeding on Kodo millet crop fields at edge of reserve. Within 12–24 hrs: sudden collapse, ataxia, hypersalivation, behavioural depression, recumbency. Rapid deaths over 4 days. No infectious disease outbreak in area.</w:t>
      </w:r>
    </w:p>
    <w:p>
      <w:pPr>
        <w:pStyle w:val="WS_H2"/>
        <w:ind w:left="170"/>
      </w:pPr>
      <w:r>
        <w:rPr>
          <w:b/>
          <w:color w:val="2D6A4F"/>
        </w:rPr>
        <w:t>Gross PM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System / Organ</w:t>
            </w:r>
          </w:p>
        </w:tc>
        <w:tc>
          <w:tcPr>
            <w:tcW w:type="dxa" w:w="6803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Gross Finding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Forestomach/Rumen equivalent</w:t>
            </w:r>
          </w:p>
        </w:tc>
        <w:tc>
          <w:tcPr>
            <w:tcW w:type="dxa" w:w="6803"/>
            <w:shd w:val="clear" w:color="auto" w:fill="FFFFFF"/>
          </w:tcPr>
          <w:p>
            <w:pPr>
              <w:pStyle w:val="WS_TD"/>
              <w:spacing w:before="40" w:after="40"/>
            </w:pPr>
            <w:r>
              <w:t>N/A (hindgut fermenter) — stomach had large volume of millet grain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Liver</w:t>
            </w:r>
          </w:p>
        </w:tc>
        <w:tc>
          <w:tcPr>
            <w:tcW w:type="dxa" w:w="6803"/>
            <w:shd w:val="clear" w:color="auto" w:fill="EAF7EE"/>
          </w:tcPr>
          <w:p>
            <w:pPr>
              <w:pStyle w:val="WS_TD"/>
              <w:spacing w:before="40" w:after="40"/>
            </w:pPr>
            <w:r>
              <w:t>Pale, friable, enlarged — centrilobular necrosis on cut section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Kidneys</w:t>
            </w:r>
          </w:p>
        </w:tc>
        <w:tc>
          <w:tcPr>
            <w:tcW w:type="dxa" w:w="6803"/>
            <w:shd w:val="clear" w:color="auto" w:fill="FFFFFF"/>
          </w:tcPr>
          <w:p>
            <w:pPr>
              <w:pStyle w:val="WS_TD"/>
              <w:spacing w:before="40" w:after="40"/>
            </w:pPr>
            <w:r>
              <w:t>Pale, swollen — cortical pallor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Intestines</w:t>
            </w:r>
          </w:p>
        </w:tc>
        <w:tc>
          <w:tcPr>
            <w:tcW w:type="dxa" w:w="6803"/>
            <w:shd w:val="clear" w:color="auto" w:fill="EAF7EE"/>
          </w:tcPr>
          <w:p>
            <w:pPr>
              <w:pStyle w:val="WS_TD"/>
              <w:spacing w:before="40" w:after="40"/>
            </w:pPr>
            <w:r>
              <w:t>Haemorrhagic enteritis — reddened mucosa with petechiae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Lungs</w:t>
            </w:r>
          </w:p>
        </w:tc>
        <w:tc>
          <w:tcPr>
            <w:tcW w:type="dxa" w:w="6803"/>
            <w:shd w:val="clear" w:color="auto" w:fill="FFFFFF"/>
          </w:tcPr>
          <w:p>
            <w:pPr>
              <w:pStyle w:val="WS_TD"/>
              <w:spacing w:before="40" w:after="40"/>
            </w:pPr>
            <w:r>
              <w:t>Congested, oedematous — secondary to cardiovascular shock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Heart</w:t>
            </w:r>
          </w:p>
        </w:tc>
        <w:tc>
          <w:tcPr>
            <w:tcW w:type="dxa" w:w="6803"/>
            <w:shd w:val="clear" w:color="auto" w:fill="EAF7EE"/>
          </w:tcPr>
          <w:p>
            <w:pPr>
              <w:pStyle w:val="WS_TD"/>
              <w:spacing w:before="40" w:after="40"/>
            </w:pPr>
            <w:r>
              <w:t>Petechiae on epicardium; myocardial pallor in some animals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Brain</w:t>
            </w:r>
          </w:p>
        </w:tc>
        <w:tc>
          <w:tcPr>
            <w:tcW w:type="dxa" w:w="6803"/>
            <w:shd w:val="clear" w:color="auto" w:fill="FFFFFF"/>
          </w:tcPr>
          <w:p>
            <w:pPr>
              <w:pStyle w:val="WS_TD"/>
              <w:spacing w:before="40" w:after="40"/>
            </w:pPr>
            <w:r>
              <w:t>Congestion; petechiae — consistent with hypoxia/shock</w:t>
            </w:r>
          </w:p>
        </w:tc>
      </w:tr>
    </w:tbl>
    <w:p/>
    <w:p>
      <w:pPr>
        <w:pStyle w:val="WS_H2"/>
        <w:ind w:left="170"/>
      </w:pPr>
      <w:r>
        <w:rPr>
          <w:b/>
          <w:color w:val="2D6A4F"/>
        </w:rPr>
        <w:t>Toxicology Results (LC-MS — ICRISAT Hyderabad)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Sample</w:t>
            </w:r>
          </w:p>
        </w:tc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CPA Detected</w:t>
            </w:r>
          </w:p>
        </w:tc>
        <w:tc>
          <w:tcPr>
            <w:tcW w:type="dxa" w:w="45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Level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Stomach contents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YES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High (&gt;50 ppb)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Liver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YES</w:t>
            </w:r>
          </w:p>
        </w:tc>
        <w:tc>
          <w:tcPr>
            <w:tcW w:type="dxa" w:w="45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Moderate (10–25 ppb)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Kodo millet from field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YES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Very high (&gt;200 ppb — contaminated grain)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Serum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YES</w:t>
            </w:r>
          </w:p>
        </w:tc>
        <w:tc>
          <w:tcPr>
            <w:tcW w:type="dxa" w:w="45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Detectable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EEHV PCR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NEGATIVE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—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Organochlorine/Phosphate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NEGATIVE</w:t>
            </w:r>
          </w:p>
        </w:tc>
        <w:tc>
          <w:tcPr>
            <w:tcW w:type="dxa" w:w="45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Heavy metals (Pb/Hg/Cd/As)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NEGATIVE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3. Cyclopiazonic Acid (CPA) — Key Facts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6803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Producing fungi</w:t>
            </w:r>
          </w:p>
        </w:tc>
        <w:tc>
          <w:tcPr>
            <w:tcW w:type="dxa" w:w="6803"/>
            <w:shd w:val="clear" w:color="auto" w:fill="FFFFFF"/>
          </w:tcPr>
          <w:p>
            <w:pPr>
              <w:pStyle w:val="WS_TD"/>
              <w:spacing w:before="40" w:after="40"/>
            </w:pPr>
            <w:r>
              <w:t>Aspergillus flavus, A. oryzae, Penicillium cyclopium — common soil fungi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Substrate</w:t>
            </w:r>
          </w:p>
        </w:tc>
        <w:tc>
          <w:tcPr>
            <w:tcW w:type="dxa" w:w="6803"/>
            <w:shd w:val="clear" w:color="auto" w:fill="EAF7EE"/>
          </w:tcPr>
          <w:p>
            <w:pPr>
              <w:pStyle w:val="WS_TD"/>
              <w:spacing w:before="40" w:after="40"/>
            </w:pPr>
            <w:r>
              <w:t>Kodo millet (Paspalum scrobiculatum), maize, groundnut, sorghum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Conditions for growth</w:t>
            </w:r>
          </w:p>
        </w:tc>
        <w:tc>
          <w:tcPr>
            <w:tcW w:type="dxa" w:w="6803"/>
            <w:shd w:val="clear" w:color="auto" w:fill="FFFFFF"/>
          </w:tcPr>
          <w:p>
            <w:pPr>
              <w:pStyle w:val="WS_TD"/>
              <w:spacing w:before="40" w:after="40"/>
            </w:pPr>
            <w:r>
              <w:t>High humidity, temperature 25–37°C, pre-harvest or storage damage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Mechanism of toxicity</w:t>
            </w:r>
          </w:p>
        </w:tc>
        <w:tc>
          <w:tcPr>
            <w:tcW w:type="dxa" w:w="6803"/>
            <w:shd w:val="clear" w:color="auto" w:fill="EAF7EE"/>
          </w:tcPr>
          <w:p>
            <w:pPr>
              <w:pStyle w:val="WS_TD"/>
              <w:spacing w:before="40" w:after="40"/>
            </w:pPr>
            <w:r>
              <w:t>Inhibits Ca²⁺-ATPase pump (SERCA) → disrupts intracellular calcium → cell death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Target organs</w:t>
            </w:r>
          </w:p>
        </w:tc>
        <w:tc>
          <w:tcPr>
            <w:tcW w:type="dxa" w:w="6803"/>
            <w:shd w:val="clear" w:color="auto" w:fill="FFFFFF"/>
          </w:tcPr>
          <w:p>
            <w:pPr>
              <w:pStyle w:val="WS_TD"/>
              <w:spacing w:before="40" w:after="40"/>
            </w:pPr>
            <w:r>
              <w:t>Liver (necrosis), kidney (tubular damage), heart (myocardial degeneration), GI tract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LD50 (rat)</w:t>
            </w:r>
          </w:p>
        </w:tc>
        <w:tc>
          <w:tcPr>
            <w:tcW w:type="dxa" w:w="6803"/>
            <w:shd w:val="clear" w:color="auto" w:fill="EAF7EE"/>
          </w:tcPr>
          <w:p>
            <w:pPr>
              <w:pStyle w:val="WS_TD"/>
              <w:spacing w:before="40" w:after="40"/>
            </w:pPr>
            <w:r>
              <w:t>36 mg/kg bodyweight (acute)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Historical case</w:t>
            </w:r>
          </w:p>
        </w:tc>
        <w:tc>
          <w:tcPr>
            <w:tcW w:type="dxa" w:w="6803"/>
            <w:shd w:val="clear" w:color="auto" w:fill="FFFFFF"/>
          </w:tcPr>
          <w:p>
            <w:pPr>
              <w:pStyle w:val="WS_TD"/>
              <w:spacing w:before="40" w:after="40"/>
            </w:pPr>
            <w:r>
              <w:t>Kodo poisoning known in India since 1917 — "Kodua poisoning" in humans eating contaminated millet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Season of risk</w:t>
            </w:r>
          </w:p>
        </w:tc>
        <w:tc>
          <w:tcPr>
            <w:tcW w:type="dxa" w:w="6803"/>
            <w:shd w:val="clear" w:color="auto" w:fill="EAF7EE"/>
          </w:tcPr>
          <w:p>
            <w:pPr>
              <w:pStyle w:val="WS_TD"/>
              <w:spacing w:before="40" w:after="40"/>
            </w:pPr>
            <w:r>
              <w:t>Post-monsoon harvest (Oct–Dec) — wet grain in field; humid storage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Detection</w:t>
            </w:r>
          </w:p>
        </w:tc>
        <w:tc>
          <w:tcPr>
            <w:tcW w:type="dxa" w:w="6803"/>
            <w:shd w:val="clear" w:color="auto" w:fill="FFFFFF"/>
          </w:tcPr>
          <w:p>
            <w:pPr>
              <w:pStyle w:val="WS_TD"/>
              <w:spacing w:before="40" w:after="40"/>
            </w:pPr>
            <w:r>
              <w:t>LC-MS/MS (most sensitive); ELISA available; TLC for screening</w:t>
            </w:r>
          </w:p>
        </w:tc>
      </w:tr>
    </w:tbl>
    <w:p/>
    <w:p>
      <w:pPr>
        <w:pStyle w:val="WS_H2"/>
        <w:ind w:left="170"/>
      </w:pPr>
      <w:r>
        <w:rPr>
          <w:b/>
          <w:color w:val="2D6A4F"/>
        </w:rPr>
        <w:t>Prevention &amp; Control</w:t>
      </w:r>
    </w:p>
    <w:p>
      <w:pPr>
        <w:pStyle w:val="WS_Bullet"/>
        <w:ind w:left="283" w:hanging="170"/>
      </w:pPr>
      <w:r>
        <w:t>• Avoid allowing elephants to access Kodo millet fields — especially post-monsoon harvest</w:t>
      </w:r>
    </w:p>
    <w:p>
      <w:pPr>
        <w:pStyle w:val="WS_Bullet"/>
        <w:ind w:left="283" w:hanging="170"/>
      </w:pPr>
      <w:r>
        <w:t>• Crop monitoring: mycological testing of grain during harvest season</w:t>
      </w:r>
    </w:p>
    <w:p>
      <w:pPr>
        <w:pStyle w:val="WS_Bullet"/>
        <w:ind w:left="283" w:hanging="170"/>
      </w:pPr>
      <w:r>
        <w:t>• Moisture-controlled storage — &lt;14% grain moisture inhibits fungal growth</w:t>
      </w:r>
    </w:p>
    <w:p>
      <w:pPr>
        <w:pStyle w:val="WS_Bullet"/>
        <w:ind w:left="283" w:hanging="170"/>
      </w:pPr>
      <w:r>
        <w:t>• Rapid autopsy + LC-MS testing of first death in any cluster event</w:t>
      </w:r>
    </w:p>
    <w:p>
      <w:pPr>
        <w:pStyle w:val="WS_Bullet"/>
        <w:ind w:left="283" w:hanging="170"/>
      </w:pPr>
      <w:r>
        <w:t>• Liaison with forest department to map Kodo millet cultivation areas within/adjacent to elephant habitats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4. Electrocution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DBD8"/>
          </w:tcPr>
          <w:p>
            <w:pPr>
              <w:spacing w:before="80" w:after="80"/>
            </w:pPr>
            <w:r>
              <w:rPr>
                <w:b/>
                <w:color w:val="C0392B"/>
                <w:sz w:val="18"/>
              </w:rPr>
              <w:t>Electrocution = 47% of all elephant deaths in Chhattisgarh (2021–2026). 23 confirmed electrocution deaths. Oct–Dec peak — illegal fencing to protect paddy/maize crops.</w:t>
            </w:r>
          </w:p>
        </w:tc>
      </w:tr>
    </w:tbl>
    <w:p/>
    <w:p>
      <w:pPr>
        <w:pStyle w:val="WS_H2"/>
        <w:ind w:left="170"/>
      </w:pPr>
      <w:r>
        <w:rPr>
          <w:b/>
          <w:color w:val="2D6A4F"/>
        </w:rPr>
        <w:t>Comparison of Injury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Lightning Strike</w:t>
            </w:r>
          </w:p>
        </w:tc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High Voltage (HV) Line</w:t>
            </w:r>
          </w:p>
        </w:tc>
        <w:tc>
          <w:tcPr>
            <w:tcW w:type="dxa" w:w="28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Low Voltage (LV) Fence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Voltage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&gt;100 million V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11 kV–132 kV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220 V–440 V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Mechanism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Flash-over; side-potential herd deaths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Direct contact; step potential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Prolonged contact; cardiac arrest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Entry wound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Large irregular char mark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Deep char at contact point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Small char or absent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Exit wound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Multiple; on feet (ground contact)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Typically on feet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Feet — small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Internal organs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Haemorrhage throughout; visceral rupture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Linear haemorrhage along current path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Cardiac changes primary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Herd effect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YES — side-potential can kill multiple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Step-potential affects nearby animals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Direct contact only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PM smell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Burnt hair/skin smell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Burnt smell at entry/exit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May be subtle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Scene evidence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Split trees; scorched ground; no lines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Broken power line; fused wire ends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Illegal fence wire at scene</w:t>
            </w:r>
          </w:p>
        </w:tc>
      </w:tr>
    </w:tbl>
    <w:p/>
    <w:p>
      <w:pPr>
        <w:pStyle w:val="WS_H2"/>
        <w:ind w:left="170"/>
      </w:pPr>
      <w:r>
        <w:rPr>
          <w:b/>
          <w:color w:val="2D6A4F"/>
        </w:rPr>
        <w:t>PM Findings in Electrocution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Finding</w:t>
            </w:r>
          </w:p>
        </w:tc>
        <w:tc>
          <w:tcPr>
            <w:tcW w:type="dxa" w:w="6236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Significance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Char marks at entry/exit</w:t>
            </w:r>
          </w:p>
        </w:tc>
        <w:tc>
          <w:tcPr>
            <w:tcW w:type="dxa" w:w="6236"/>
            <w:shd w:val="clear" w:color="auto" w:fill="FFFFFF"/>
          </w:tcPr>
          <w:p>
            <w:pPr>
              <w:pStyle w:val="WS_TD"/>
              <w:spacing w:before="40" w:after="40"/>
            </w:pPr>
            <w:r>
              <w:t>Pathognomonic — document with photograph and GPS</w:t>
            </w:r>
          </w:p>
        </w:tc>
      </w:tr>
      <w:tr>
        <w:tc>
          <w:tcPr>
            <w:tcW w:type="dxa" w:w="34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Metallodermic marks</w:t>
            </w:r>
          </w:p>
        </w:tc>
        <w:tc>
          <w:tcPr>
            <w:tcW w:type="dxa" w:w="6236"/>
            <w:shd w:val="clear" w:color="auto" w:fill="EAF7EE"/>
          </w:tcPr>
          <w:p>
            <w:pPr>
              <w:pStyle w:val="WS_TD"/>
              <w:spacing w:before="40" w:after="40"/>
            </w:pPr>
            <w:r>
              <w:t>Imprint of wire/equipment on skin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Muscle haemorrhage along current path</w:t>
            </w:r>
          </w:p>
        </w:tc>
        <w:tc>
          <w:tcPr>
            <w:tcW w:type="dxa" w:w="6236"/>
            <w:shd w:val="clear" w:color="auto" w:fill="FFFFFF"/>
          </w:tcPr>
          <w:p>
            <w:pPr>
              <w:pStyle w:val="WS_TD"/>
              <w:spacing w:before="40" w:after="40"/>
            </w:pPr>
            <w:r>
              <w:t>Joule heating effect in tissues</w:t>
            </w:r>
          </w:p>
        </w:tc>
      </w:tr>
      <w:tr>
        <w:tc>
          <w:tcPr>
            <w:tcW w:type="dxa" w:w="34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Petechial haemorrhage — heart, lungs, brain</w:t>
            </w:r>
          </w:p>
        </w:tc>
        <w:tc>
          <w:tcPr>
            <w:tcW w:type="dxa" w:w="6236"/>
            <w:shd w:val="clear" w:color="auto" w:fill="EAF7EE"/>
          </w:tcPr>
          <w:p>
            <w:pPr>
              <w:pStyle w:val="WS_TD"/>
              <w:spacing w:before="40" w:after="40"/>
            </w:pPr>
            <w:r>
              <w:t>Cardiorespiratory arrest secondary to ventricular fibrillation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Arborescent (Lichtenberg) marks</w:t>
            </w:r>
          </w:p>
        </w:tc>
        <w:tc>
          <w:tcPr>
            <w:tcW w:type="dxa" w:w="6236"/>
            <w:shd w:val="clear" w:color="auto" w:fill="FFFFFF"/>
          </w:tcPr>
          <w:p>
            <w:pPr>
              <w:pStyle w:val="WS_TD"/>
              <w:spacing w:before="40" w:after="40"/>
            </w:pPr>
            <w:r>
              <w:t>Lightning specific — branching red skin marks</w:t>
            </w:r>
          </w:p>
        </w:tc>
      </w:tr>
      <w:tr>
        <w:tc>
          <w:tcPr>
            <w:tcW w:type="dxa" w:w="34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Rapid decomposition</w:t>
            </w:r>
          </w:p>
        </w:tc>
        <w:tc>
          <w:tcPr>
            <w:tcW w:type="dxa" w:w="6236"/>
            <w:shd w:val="clear" w:color="auto" w:fill="EAF7EE"/>
          </w:tcPr>
          <w:p>
            <w:pPr>
              <w:pStyle w:val="WS_TD"/>
              <w:spacing w:before="40" w:after="40"/>
            </w:pPr>
            <w:r>
              <w:t>Heat from current accelerates autolysis — PM within 6 hrs essential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No significant internal pathology</w:t>
            </w:r>
          </w:p>
        </w:tc>
        <w:tc>
          <w:tcPr>
            <w:tcW w:type="dxa" w:w="6236"/>
            <w:shd w:val="clear" w:color="auto" w:fill="FFFFFF"/>
          </w:tcPr>
          <w:p>
            <w:pPr>
              <w:pStyle w:val="WS_TD"/>
              <w:spacing w:before="40" w:after="40"/>
            </w:pPr>
            <w:r>
              <w:t>May be seen in LV fence deaths — external findings are key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5. Lightning Side-Potential (Herd Mortality)</w:t>
            </w:r>
          </w:p>
        </w:tc>
      </w:tr>
    </w:tbl>
    <w:p/>
    <w:p>
      <w:pPr>
        <w:pStyle w:val="WS_Body"/>
      </w:pPr>
      <w:r>
        <w:t>When lightning strikes near a herd, ground current radiates outward in concentric circles (step potential / side flash). Front legs and back legs are at different potentials, creating a current path through the body. Calves and smaller animals are most susceptible. Multiple simultaneous deaths at same location during/after storm should raise immediate suspicion of lightning side-potential.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Indicator</w:t>
            </w:r>
          </w:p>
        </w:tc>
        <w:tc>
          <w:tcPr>
            <w:tcW w:type="dxa" w:w="6803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Multiple deaths simultaneously</w:t>
            </w:r>
          </w:p>
        </w:tc>
        <w:tc>
          <w:tcPr>
            <w:tcW w:type="dxa" w:w="6803"/>
            <w:shd w:val="clear" w:color="auto" w:fill="FFFFFF"/>
          </w:tcPr>
          <w:p>
            <w:pPr>
              <w:pStyle w:val="WS_TD"/>
              <w:spacing w:before="40" w:after="40"/>
            </w:pPr>
            <w:r>
              <w:t>Lightning — same location, same time (storm)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Concentric position of carcasses</w:t>
            </w:r>
          </w:p>
        </w:tc>
        <w:tc>
          <w:tcPr>
            <w:tcW w:type="dxa" w:w="6803"/>
            <w:shd w:val="clear" w:color="auto" w:fill="EAF7EE"/>
          </w:tcPr>
          <w:p>
            <w:pPr>
              <w:pStyle w:val="WS_TD"/>
              <w:spacing w:before="40" w:after="40"/>
            </w:pPr>
            <w:r>
              <w:t>Radiate from central strike point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Split trees / burnt vegetation</w:t>
            </w:r>
          </w:p>
        </w:tc>
        <w:tc>
          <w:tcPr>
            <w:tcW w:type="dxa" w:w="6803"/>
            <w:shd w:val="clear" w:color="auto" w:fill="FFFFFF"/>
          </w:tcPr>
          <w:p>
            <w:pPr>
              <w:pStyle w:val="WS_TD"/>
              <w:spacing w:before="40" w:after="40"/>
            </w:pPr>
            <w:r>
              <w:t>Lightning strike point evidence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Skin findings</w:t>
            </w:r>
          </w:p>
        </w:tc>
        <w:tc>
          <w:tcPr>
            <w:tcW w:type="dxa" w:w="6803"/>
            <w:shd w:val="clear" w:color="auto" w:fill="EAF7EE"/>
          </w:tcPr>
          <w:p>
            <w:pPr>
              <w:pStyle w:val="WS_TD"/>
              <w:spacing w:before="40" w:after="40"/>
            </w:pPr>
            <w:r>
              <w:t>Lichtenberg marks (arborescent patterns) on some individuals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Season</w:t>
            </w:r>
          </w:p>
        </w:tc>
        <w:tc>
          <w:tcPr>
            <w:tcW w:type="dxa" w:w="6803"/>
            <w:shd w:val="clear" w:color="auto" w:fill="FFFFFF"/>
          </w:tcPr>
          <w:p>
            <w:pPr>
              <w:pStyle w:val="WS_TD"/>
              <w:spacing w:before="40" w:after="40"/>
            </w:pPr>
            <w:r>
              <w:t>Pre-monsoon / monsoon (April–September in India)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PM findings</w:t>
            </w:r>
          </w:p>
        </w:tc>
        <w:tc>
          <w:tcPr>
            <w:tcW w:type="dxa" w:w="6803"/>
            <w:shd w:val="clear" w:color="auto" w:fill="EAF7EE"/>
          </w:tcPr>
          <w:p>
            <w:pPr>
              <w:pStyle w:val="WS_TD"/>
              <w:spacing w:before="40" w:after="40"/>
            </w:pPr>
            <w:r>
              <w:t>Similar to HV — haemorrhage, cardiac arrest; may be less localised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6. Nutritional Deficiencies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17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Deficiency</w:t>
            </w:r>
          </w:p>
        </w:tc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Mechanism</w:t>
            </w:r>
          </w:p>
        </w:tc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Clinical Signs</w:t>
            </w:r>
          </w:p>
        </w:tc>
        <w:tc>
          <w:tcPr>
            <w:tcW w:type="dxa" w:w="198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PM Findings</w:t>
            </w:r>
          </w:p>
        </w:tc>
        <w:tc>
          <w:tcPr>
            <w:tcW w:type="dxa" w:w="170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Field Sampling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Iron (Fe)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Reduced haemoglobin; anaemia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Pallor, weakness, tachycardia, collapse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Pale mucosae, thin watery blood, iron-poor marrow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Blood (CBC, serum iron, ferritin), bone marrow</w:t>
            </w:r>
          </w:p>
        </w:tc>
      </w:tr>
      <w:tr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Calcium/Phosphorus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Bone resorption, osteomalacia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Bone pain, fractures, fracture sites, stiff gait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Soft/rubbery bones, pathological fractures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Serum Ca/P, bone biopsy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Iodine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Hypothyroidism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Goitre, weight gain, poor coat, reproductive failure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Enlarged thyroid gland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Thyroid tissue, serum T3/T4</w:t>
            </w:r>
          </w:p>
        </w:tc>
      </w:tr>
      <w:tr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Vitamin E/Selenium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Oxidative damage to muscle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White muscle disease, weakness, sudden death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Pale/white cardiac and skeletal muscle — white streaks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Serum selenium, muscle biopsy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Copper (Cu)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Enzyme dysfunction, demyelination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Depigmentation, weakness, diarrhoea, nervous signs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Swaybacker lesions in brain; liver copper low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Liver, serum copper, brain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7. Field Investigation Framework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765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Action Items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Scene Assessment</w:t>
            </w:r>
          </w:p>
        </w:tc>
        <w:tc>
          <w:tcPr>
            <w:tcW w:type="dxa" w:w="7654"/>
            <w:shd w:val="clear" w:color="auto" w:fill="FFFFFF"/>
          </w:tcPr>
          <w:p>
            <w:pPr>
              <w:pStyle w:val="WS_TD"/>
              <w:spacing w:before="40" w:after="40"/>
            </w:pPr>
            <w:r>
              <w:t>GPS; photograph scene before disturbing; note carcass position, orientation, vegetation damage, wire/equipment present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History</w:t>
            </w:r>
          </w:p>
        </w:tc>
        <w:tc>
          <w:tcPr>
            <w:tcW w:type="dxa" w:w="7654"/>
            <w:shd w:val="clear" w:color="auto" w:fill="EAF7EE"/>
          </w:tcPr>
          <w:p>
            <w:pPr>
              <w:pStyle w:val="WS_TD"/>
              <w:spacing w:before="40" w:after="40"/>
            </w:pPr>
            <w:r>
              <w:t>When last seen alive; feed/water sources; recent weather; herd composition; any unusual activity (raiding, musth)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External Examination</w:t>
            </w:r>
          </w:p>
        </w:tc>
        <w:tc>
          <w:tcPr>
            <w:tcW w:type="dxa" w:w="7654"/>
            <w:shd w:val="clear" w:color="auto" w:fill="FFFFFF"/>
          </w:tcPr>
          <w:p>
            <w:pPr>
              <w:pStyle w:val="WS_TD"/>
              <w:spacing w:before="40" w:after="40"/>
            </w:pPr>
            <w:r>
              <w:t>Char marks, wounds, tusk damage, skin condition, orifice discharge, body condition score, age estimation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PM Examination</w:t>
            </w:r>
          </w:p>
        </w:tc>
        <w:tc>
          <w:tcPr>
            <w:tcW w:type="dxa" w:w="7654"/>
            <w:shd w:val="clear" w:color="auto" w:fill="EAF7EE"/>
          </w:tcPr>
          <w:p>
            <w:pPr>
              <w:pStyle w:val="WS_TD"/>
              <w:spacing w:before="40" w:after="40"/>
            </w:pPr>
            <w:r>
              <w:t>Systematic organ examination; document gross findings; photograph all lesions; weigh organs if possible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Sample Collection</w:t>
            </w:r>
          </w:p>
        </w:tc>
        <w:tc>
          <w:tcPr>
            <w:tcW w:type="dxa" w:w="7654"/>
            <w:shd w:val="clear" w:color="auto" w:fill="FFFFFF"/>
          </w:tcPr>
          <w:p>
            <w:pPr>
              <w:pStyle w:val="WS_TD"/>
              <w:spacing w:before="40" w:after="40"/>
            </w:pPr>
            <w:r>
              <w:t>Collect ALL samples from master list; maintain cold chain; double-label every sample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Environmental Samples</w:t>
            </w:r>
          </w:p>
        </w:tc>
        <w:tc>
          <w:tcPr>
            <w:tcW w:type="dxa" w:w="7654"/>
            <w:shd w:val="clear" w:color="auto" w:fill="EAF7EE"/>
          </w:tcPr>
          <w:p>
            <w:pPr>
              <w:pStyle w:val="WS_TD"/>
              <w:spacing w:before="40" w:after="40"/>
            </w:pPr>
            <w:r>
              <w:t>Water (nearby sources), soil (around carcass), feed/fodder from last known feeding site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Documentation</w:t>
            </w:r>
          </w:p>
        </w:tc>
        <w:tc>
          <w:tcPr>
            <w:tcW w:type="dxa" w:w="7654"/>
            <w:shd w:val="clear" w:color="auto" w:fill="FFFFFF"/>
          </w:tcPr>
          <w:p>
            <w:pPr>
              <w:pStyle w:val="WS_TD"/>
              <w:spacing w:before="40" w:after="40"/>
            </w:pPr>
            <w:r>
              <w:t>Complete PM report with GPS, photographs, sample list; chain of custody form for all samples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Preliminary Findings</w:t>
            </w:r>
          </w:p>
        </w:tc>
        <w:tc>
          <w:tcPr>
            <w:tcW w:type="dxa" w:w="7654"/>
            <w:shd w:val="clear" w:color="auto" w:fill="EAF7EE"/>
          </w:tcPr>
          <w:p>
            <w:pPr>
              <w:pStyle w:val="WS_TD"/>
              <w:spacing w:before="40" w:after="40"/>
            </w:pPr>
            <w:r>
              <w:t>Verbal report to CF/PCCF within 24 hrs; written report within 72 hrs; lab results to follow</w:t>
            </w:r>
          </w:p>
        </w:tc>
      </w:tr>
    </w:tbl>
    <w:p/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S_Title">
    <w:name w:val="WS_Title"/>
    <w:basedOn w:val="Normal"/>
    <w:pPr>
      <w:spacing w:before="0" w:after="80"/>
      <w:jc w:val="center"/>
    </w:pPr>
    <w:rPr>
      <w:rFonts w:ascii="Calibri" w:hAnsi="Calibri"/>
      <w:b/>
      <w:i w:val="0"/>
      <w:color w:val="FFFFFF"/>
      <w:sz w:val="36"/>
    </w:rPr>
  </w:style>
  <w:style w:type="paragraph" w:customStyle="1" w:styleId="WS_Sub">
    <w:name w:val="WS_Sub"/>
    <w:basedOn w:val="Normal"/>
    <w:pPr>
      <w:spacing w:before="0" w:after="40"/>
      <w:jc w:val="center"/>
    </w:pPr>
    <w:rPr>
      <w:rFonts w:ascii="Calibri" w:hAnsi="Calibri"/>
      <w:b w:val="0"/>
      <w:i/>
      <w:color w:val="D8F3DC"/>
      <w:sz w:val="20"/>
    </w:rPr>
  </w:style>
  <w:style w:type="paragraph" w:customStyle="1" w:styleId="WS_H1">
    <w:name w:val="WS_H1"/>
    <w:basedOn w:val="Normal"/>
    <w:pPr>
      <w:spacing w:before="160" w:after="40"/>
    </w:pPr>
    <w:rPr>
      <w:rFonts w:ascii="Calibri" w:hAnsi="Calibri"/>
      <w:b/>
      <w:i w:val="0"/>
      <w:color w:val="FFFFFF"/>
      <w:sz w:val="22"/>
    </w:rPr>
  </w:style>
  <w:style w:type="paragraph" w:customStyle="1" w:styleId="WS_H2">
    <w:name w:val="WS_H2"/>
    <w:basedOn w:val="Normal"/>
    <w:pPr>
      <w:spacing w:before="120" w:after="40"/>
    </w:pPr>
    <w:rPr>
      <w:rFonts w:ascii="Calibri" w:hAnsi="Calibri"/>
      <w:b/>
      <w:i w:val="0"/>
      <w:color w:val="1B4332"/>
      <w:sz w:val="20"/>
    </w:rPr>
  </w:style>
  <w:style w:type="paragraph" w:customStyle="1" w:styleId="WS_Body">
    <w:name w:val="WS_Body"/>
    <w:basedOn w:val="Normal"/>
    <w:pPr>
      <w:spacing w:before="0" w:after="80"/>
    </w:pPr>
    <w:rPr>
      <w:rFonts w:ascii="Calibri" w:hAnsi="Calibri"/>
      <w:b w:val="0"/>
      <w:i w:val="0"/>
      <w:color w:val="1A1A1A"/>
      <w:sz w:val="19"/>
    </w:rPr>
  </w:style>
  <w:style w:type="paragraph" w:customStyle="1" w:styleId="WS_Bold">
    <w:name w:val="WS_Bold"/>
    <w:basedOn w:val="Normal"/>
    <w:pPr>
      <w:spacing w:before="0" w:after="80"/>
    </w:pPr>
    <w:rPr>
      <w:rFonts w:ascii="Calibri" w:hAnsi="Calibri"/>
      <w:b/>
      <w:i w:val="0"/>
      <w:color w:val="1A1A1A"/>
      <w:sz w:val="19"/>
    </w:rPr>
  </w:style>
  <w:style w:type="paragraph" w:customStyle="1" w:styleId="WS_Bullet">
    <w:name w:val="WS_Bullet"/>
    <w:basedOn w:val="Normal"/>
    <w:pPr>
      <w:spacing w:before="0" w:after="40"/>
    </w:pPr>
    <w:rPr>
      <w:rFonts w:ascii="Calibri" w:hAnsi="Calibri"/>
      <w:b w:val="0"/>
      <w:i w:val="0"/>
      <w:color w:val="1A1A1A"/>
      <w:sz w:val="18"/>
    </w:rPr>
  </w:style>
  <w:style w:type="paragraph" w:customStyle="1" w:styleId="WS_Caption">
    <w:name w:val="WS_Caption"/>
    <w:basedOn w:val="Normal"/>
    <w:pPr>
      <w:spacing w:before="0" w:after="80"/>
      <w:jc w:val="center"/>
    </w:pPr>
    <w:rPr>
      <w:rFonts w:ascii="Calibri" w:hAnsi="Calibri"/>
      <w:b w:val="0"/>
      <w:i/>
      <w:color w:val="555555"/>
      <w:sz w:val="16"/>
    </w:rPr>
  </w:style>
  <w:style w:type="paragraph" w:customStyle="1" w:styleId="WS_TH">
    <w:name w:val="WS_TH"/>
    <w:basedOn w:val="Normal"/>
    <w:pPr>
      <w:spacing w:before="0" w:after="0"/>
      <w:jc w:val="center"/>
    </w:pPr>
    <w:rPr>
      <w:rFonts w:ascii="Calibri" w:hAnsi="Calibri"/>
      <w:b/>
      <w:i w:val="0"/>
      <w:color w:val="FFFFFF"/>
      <w:sz w:val="17"/>
    </w:rPr>
  </w:style>
  <w:style w:type="paragraph" w:customStyle="1" w:styleId="WS_TD">
    <w:name w:val="WS_TD"/>
    <w:basedOn w:val="Normal"/>
    <w:pPr>
      <w:spacing w:before="0" w:after="0"/>
    </w:pPr>
    <w:rPr>
      <w:rFonts w:ascii="Calibri" w:hAnsi="Calibri"/>
      <w:b w:val="0"/>
      <w:i w:val="0"/>
      <w:color w:val="1A1A1A"/>
      <w:sz w:val="17"/>
    </w:rPr>
  </w:style>
  <w:style w:type="paragraph" w:customStyle="1" w:styleId="WS_TDC">
    <w:name w:val="WS_TDC"/>
    <w:basedOn w:val="Normal"/>
    <w:pPr>
      <w:spacing w:before="0" w:after="0"/>
      <w:jc w:val="center"/>
    </w:pPr>
    <w:rPr>
      <w:rFonts w:ascii="Calibri" w:hAnsi="Calibri"/>
      <w:b w:val="0"/>
      <w:i w:val="0"/>
      <w:color w:val="1A1A1A"/>
      <w:sz w:val="17"/>
    </w:rPr>
  </w:style>
  <w:style w:type="paragraph" w:customStyle="1" w:styleId="WS_TDB">
    <w:name w:val="WS_TDB"/>
    <w:basedOn w:val="Normal"/>
    <w:pPr>
      <w:spacing w:before="0" w:after="0"/>
    </w:pPr>
    <w:rPr>
      <w:rFonts w:ascii="Calibri" w:hAnsi="Calibri"/>
      <w:b/>
      <w:i w:val="0"/>
      <w:color w:val="1B4332"/>
      <w:sz w:val="17"/>
    </w:rPr>
  </w:style>
  <w:style w:type="paragraph" w:customStyle="1" w:styleId="WS_Note">
    <w:name w:val="WS_Note"/>
    <w:basedOn w:val="Normal"/>
    <w:pPr>
      <w:spacing w:before="0" w:after="60"/>
    </w:pPr>
    <w:rPr>
      <w:rFonts w:ascii="Calibri" w:hAnsi="Calibri"/>
      <w:b w:val="0"/>
      <w:i/>
      <w:color w:val="C0392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 — Non-Infectious Diseases in Asian Elephants</dc:title>
  <dc:subject/>
  <dc:creator>Chhattisgarh Forest Department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