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pStyle w:val="WS_Title"/>
              <w:spacing w:before="120" w:after="120"/>
            </w:pPr>
            <w:r>
              <w:rPr>
                <w:color w:val="52B788"/>
                <w:sz w:val="16"/>
              </w:rPr>
              <w:t>CHAPTER 6</w:t>
            </w:r>
            <w:r>
              <w:br/>
            </w:r>
            <w:r>
              <w:rPr>
                <w:b/>
                <w:color w:val="FFFFFF"/>
                <w:sz w:val="32"/>
              </w:rPr>
              <w:t>Non-Infectious Pathology in Asian Elephants</w:t>
            </w:r>
            <w:r>
              <w:br/>
            </w:r>
            <w:r>
              <w:rPr>
                <w:i/>
                <w:color w:val="D8F3DC"/>
                <w:sz w:val="19"/>
              </w:rPr>
              <w:t>Toxicoses, Electrocution, Reproductive Disorders &amp; Metabolic Diseases</w:t>
            </w:r>
            <w:r>
              <w:br/>
              <w:br/>
            </w:r>
            <w:r>
              <w:rPr>
                <w:color w:val="D8F3DC"/>
                <w:sz w:val="17"/>
              </w:rPr>
              <w:t>Prof. Dr. A. B. Shrivastava  |  NDVSU, Jabalpur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1. Elephant Poisoning in India — Overview</w:t>
            </w:r>
          </w:p>
        </w:tc>
      </w:tr>
    </w:tbl>
    <w:p/>
    <w:p>
      <w:pPr>
        <w:pStyle w:val="WS_Body"/>
      </w:pPr>
      <w:r>
        <w:t>Poisoning (toxicosis) is an under-investigated cause of elephant mortality in India. Confirmatory diagnosis requires systematic toxicological sampling and laboratory analysis. The three main routes of exposure are ingestion (most common), inhalation, and skin absorption.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Sources</w:t>
            </w:r>
          </w:p>
        </w:tc>
        <w:tc>
          <w:tcPr>
            <w:tcW w:type="dxa" w:w="510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Examples in Elephants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Ingestion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Contaminated feed, water bodies, toxic plants, bait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Kodo millet (CPA), cyanobacterial toxins, toxic plants, HCN plants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Inhalation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Industrial fumes, pesticide spray, wildfire smoke</w:t>
            </w:r>
          </w:p>
        </w:tc>
        <w:tc>
          <w:tcPr>
            <w:tcW w:type="dxa" w:w="51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Organophosphate aerosol, CO from generator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Skin Absorption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Pesticidal dip, topical application, contaminated mud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Organochlorine skin absorption, caustic burns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2. Mycotoxins &amp; Biological Toxins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A. Crop-Borne Mycotoxins — CPA &amp; Kodo Millet</w:t>
      </w:r>
    </w:p>
    <w:p>
      <w:pPr>
        <w:pStyle w:val="WS_Body"/>
      </w:pPr>
      <w:r>
        <w:t>Cyclopiazonic Acid (CPA) from Kodo millet (Paspalum scrobiculatum) is the leading documented mycotoxin causing elephant deaths in India (Bandhavgarh 2024). See Chapter 5 for full case details. Key pathological findings: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Organ</w:t>
            </w:r>
          </w:p>
        </w:tc>
        <w:tc>
          <w:tcPr>
            <w:tcW w:type="dxa" w:w="340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Pathological Change</w:t>
            </w:r>
          </w:p>
        </w:tc>
        <w:tc>
          <w:tcPr>
            <w:tcW w:type="dxa" w:w="45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Histopathology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Liver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Pale, enlarged; centrilobular necrosis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Centrilobular hepatocyte necrosis, vacuolation, bile duct proliferation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Kidneys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Pale, swollen cortex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Proximal tubular degeneration, necrosis, cast formation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Heart</w:t>
            </w:r>
          </w:p>
        </w:tc>
        <w:tc>
          <w:tcPr>
            <w:tcW w:type="dxa" w:w="34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Pale myocardium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Myofibre necrosis, interstitial oedema, mononuclear infiltration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GI Tract</w:t>
            </w:r>
          </w:p>
        </w:tc>
        <w:tc>
          <w:tcPr>
            <w:tcW w:type="dxa" w:w="34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Haemorrhagic gastroenteritis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Villous blunting, mucosal erosion, crypt necrosis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When Does Contamination Occur?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Risk Level</w:t>
            </w:r>
          </w:p>
        </w:tc>
        <w:tc>
          <w:tcPr>
            <w:tcW w:type="dxa" w:w="510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Pre-harvest (wet field)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HIGH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Fungal sporulation in standing water between crop rows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At harvest (hand-cutting)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HIGH</w:t>
            </w:r>
          </w:p>
        </w:tc>
        <w:tc>
          <w:tcPr>
            <w:tcW w:type="dxa" w:w="51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Fungal hyphae concentrated in harvested grain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Storage (damp conditions)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VERY HIGH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Amplification in sealed containers with moisture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Dry storage (&lt;14% moisture)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LOW</w:t>
            </w:r>
          </w:p>
        </w:tc>
        <w:tc>
          <w:tcPr>
            <w:tcW w:type="dxa" w:w="51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Inhibits fungal growth — proper storage protects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B. Cyanotoxins — Cyanobacterial (Blue-Green Algae) Toxins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Producing organism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Microcystis aeruginosa, Anabaena, Oscillatoria — bloom in stagnant warm water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Season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Summer months (April–June), post-monsoon eutrophic ponds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Toxins produced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Microcystins (liver damage), Anatoxins (neurotoxic), Cylindrospermopsin (kidney)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Gross PM findings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Liver — pale, necrotic; kidney — swollen; gut haemorrhage; blood fails to clot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Diagnosis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ELISA for microcystin in water/liver; LC-MS for quantification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CG relevance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Dam/pond environments in Tamnar/Kharsia Ranges — potential arsenic co-contamination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C. Toxic Plants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Plant</w:t>
            </w:r>
          </w:p>
        </w:tc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Toxic Principle</w:t>
            </w:r>
          </w:p>
        </w:tc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Clinical Effects</w:t>
            </w:r>
          </w:p>
        </w:tc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PM Findings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Lantana camara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Lantadene A &amp; B (triterpenoids)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Photosensitisation, jaundice, GI upset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Bile duct proliferation, cholestasis, skin necrosis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Calotropis procera (Aak)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Calotoxin, calactin (cardiac glycosides)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Cardiac arrest, hypersalivation, convulsions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Haemorrhage, cardiac changes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Datura spp. (Dhatura)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Scopolamine, atropine (alkaloids)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Dilated pupils, tachycardia, hyperthermia, coma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Stomach contents; no specific lesion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Castor bean (Ricinus communis)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Ricin (cytotoxin)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Acute organ failure, haemorrhage, death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Gastroenteritis, organ haemorrhage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Oleander (Nerium)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Oleandrin (cardiac glycoside)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Cardiac arrhythmia, death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Cardiac haemorrhage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Plumeria (Temple flower)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Plumericin, isoplumericin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GI irritation, rarely fatal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Gastroenteritis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Parthenium hysterophorus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Parthenin (sesquiterpene)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Contact dermatitis, photosensitisation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Skin lesions, liver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3. Hydrocyanic Acid (HCN) Poisoning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Sources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Sorghum (young plants, drought-stressed), cassava, bamboo shoots, Johnson grass, Prunus seeds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Mechanism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CN⁻ binds cytochrome c oxidase → inhibits cellular respiration → histotoxic anoxia despite normal blood O₂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Speed of action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Peracute — death within minutes to 2 hrs; animals may be found dead without premonitory signs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Clinical signs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Anxiety, hyperpnoea, staggering, bright red mucosae (oxyhemoglobin), collapse, convulsions, death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Gross PM findings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Bright cherry-red blood and organs (oxyhemoglobin), haemorrhage, no rigor mortis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Smell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Bitter almonds — detectable in stomach contents and rumen at PM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Diagnosis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Conway microdiffusion method on fresh stomach contents; must be run within hours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Treatment (live animal)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Sodium nitrite (3 mg/kg IV) + Sodium thiosulfate (660 mg/kg IV) — emergency antidote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Jabalpur Case Study — 5 Captive Elephants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708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Setting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Captive circus facility, Jabalpur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Year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Historical case (Dr. Shrivastav personal records)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Number affected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5 elephants presented with sudden collapse within 30 min of feeding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Feed implicated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Freshly cut Sorghum (jowar) — drought-stressed young plants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Clinical signs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Rapid onset; bright red mucosae; hyperpnoea; collapse; 2 died before treatment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Treatment (3 survivors)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Sodium nitrite IV + Sodium thiosulfate IV; supportive care (IV fluids, oxygen)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Diagnosis confirmed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Conway test POSITIVE for HCN on stomach lavage from deceased animals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Outcome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3 survived; 2 died within 2 hrs of first signs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4. Electrocution Terminology &amp; Pathology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4819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PM Significance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Electrocution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Death caused by electrical current — any voltage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Confirmed by char marks + scene evidence + cardiac arrest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Joule heating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Heat generated in tissue by current flow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Causes muscle necrosis along current path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Ventricular fibrillation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Cardiac arrhythmia caused by AC current at 50 Hz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Primary cause of death — AC current more dangerous than DC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Flash burns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Burns from electrical arc discharge — no direct contact needed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Superficial burns without entry/exit wounds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Step potential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Voltage gradient on ground surface near high-voltage line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Multiple animals electrocuted without touching line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Touch potential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Voltage between contact point and distant ground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Single animal — grabs or leans on energised object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5. Pyometra in Female Elephants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Definition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Accumulation of pus in the uterus — life-threatening if untreated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Affected group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Captive adult cows; long inter-calving intervals; hormonal manipulation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Common organisms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E. coli, Streptococcus, Staphylococcus, Pseudomonas, Clostridium spp.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Predisposing factors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Delayed cycling, hormonal imbalance, retained foetal membranes, uterine trauma, repeat failed mating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Clinical signs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Purulent vaginal discharge, abdominal distension, anorexia, systemic fever, weight loss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PM Findings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Uterus massively distended with foul-smelling purulent exudate; uterine wall thickened, friable; adhesions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Histopathology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Uterine wall: suppurative endometritis, glandular destruction, bacterial colonies, oedema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Treatment (live animal)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Oxytocin (drainage), PGF2α (luteal regression), broad-spectrum antibiotics; surgical drainage in severe cases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6. Hyperthermia</w:t>
            </w:r>
          </w:p>
        </w:tc>
      </w:tr>
    </w:tbl>
    <w:p/>
    <w:p>
      <w:pPr>
        <w:pStyle w:val="WS_Body"/>
      </w:pPr>
      <w:r>
        <w:t>Elephants are homeotherms but have limited thermoregulatory capacity due to their large body mass-to-surface area ratio. They cannot sweat like humans — primary heat dissipation is through ear vasodilation, bathing, and mud-wallowing. Captive elephants with restricted access to water and shade are at highest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Normal rectal temperature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35.5–37.5°C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Hyperthermia threshold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&gt;38.5°C (clinical concern); &gt;39.5°C (danger)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Predisposing factors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Restricted water access, direct sun exposure, transport without ventilation, exertion in heat, musth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Mechanism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Core temperature rises → cerebral oedema → neuronal dysfunction → seizures → death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Clinical signs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Temporal gland discharge, frantic ear-flapping, trunk spraying, ataxia, collapse, convulsions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Gross PM findings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Cerebral oedema, petechiae, congestion of all organs; rapid decomposition due to high body temp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Cooling protocols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Shade immediately; continuous cold water (IV + external); ice packs on head/ears/legs; monitoring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PM sampling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Brain (fixed immediately), vitreous humour (temperature marker), core temp at PM site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7. Iron Deficiency Anaemia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Risk group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Captive calves on restricted diet; calves born to iron-deficient cows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Normal haematocrit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32–40% (adult); calves may be lower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Signs of iron deficiency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Pallor of mucosae, weakness, tachycardia, poor growth, pica (eating soil — geophagy)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Diagnostic tests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CBC: low PCV, Hb, MCV, MCH; serum iron low; TIBC elevated; serum ferritin low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PM findings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Pale thin watery blood; pale mucosae, muscle; small spleen; hypoplastic bone marrow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Treatment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Iron dextran IM (10–20 mg/kg); dietary supplementation; mineral licks; treat underlying GI parasites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Geophagy significance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Normal behaviour for mineral supplementation; should not be suppressed in captive animals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8. Quick Reference — Non-Infectious Conditions Summary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Key PM Finding</w:t>
            </w:r>
          </w:p>
        </w:tc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Key Sample</w:t>
            </w:r>
          </w:p>
        </w:tc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Diagnosis Method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CPA Toxicosis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Pale liver, haemorrhagic enteritis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Stomach contents, liver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LC-MS for CPA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HCN Poisoning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Cherry-red blood, bitter almond smell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Stomach contents (fresh)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Conway microdiffusion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Cyanobacterial toxin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Liver necrosis, GI haemorrhage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Water, liver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ELISA/LC-MS microcystin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Electrocution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Char marks, cardiac arrest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Skin at marks; heart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Gross PM + scene evidence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Pyometra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Pus-filled uterus, adhesions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Uterine pus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Culture + sensitivity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Hyperthermia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Cerebral oedema, congestion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Brain, vitreous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Histopath; temp at PM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Iron deficiency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Pale watery blood, pale bone marrow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EDTA blood, bone marrow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CBC, serum iron, ferritin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Toxic plants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Liver/GI/cardiac changes (variable)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Stomach contents, liver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LC-MS; botanical ID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_Title">
    <w:name w:val="WS_Title"/>
    <w:basedOn w:val="Normal"/>
    <w:pPr>
      <w:spacing w:before="0" w:after="80"/>
      <w:jc w:val="center"/>
    </w:pPr>
    <w:rPr>
      <w:rFonts w:ascii="Calibri" w:hAnsi="Calibri"/>
      <w:b/>
      <w:i w:val="0"/>
      <w:color w:val="FFFFFF"/>
      <w:sz w:val="36"/>
    </w:rPr>
  </w:style>
  <w:style w:type="paragraph" w:customStyle="1" w:styleId="WS_Sub">
    <w:name w:val="WS_Sub"/>
    <w:basedOn w:val="Normal"/>
    <w:pPr>
      <w:spacing w:before="0" w:after="40"/>
      <w:jc w:val="center"/>
    </w:pPr>
    <w:rPr>
      <w:rFonts w:ascii="Calibri" w:hAnsi="Calibri"/>
      <w:b w:val="0"/>
      <w:i/>
      <w:color w:val="D8F3DC"/>
      <w:sz w:val="20"/>
    </w:rPr>
  </w:style>
  <w:style w:type="paragraph" w:customStyle="1" w:styleId="WS_H1">
    <w:name w:val="WS_H1"/>
    <w:basedOn w:val="Normal"/>
    <w:pPr>
      <w:spacing w:before="160" w:after="40"/>
    </w:pPr>
    <w:rPr>
      <w:rFonts w:ascii="Calibri" w:hAnsi="Calibri"/>
      <w:b/>
      <w:i w:val="0"/>
      <w:color w:val="FFFFFF"/>
      <w:sz w:val="22"/>
    </w:rPr>
  </w:style>
  <w:style w:type="paragraph" w:customStyle="1" w:styleId="WS_H2">
    <w:name w:val="WS_H2"/>
    <w:basedOn w:val="Normal"/>
    <w:pPr>
      <w:spacing w:before="120" w:after="40"/>
    </w:pPr>
    <w:rPr>
      <w:rFonts w:ascii="Calibri" w:hAnsi="Calibri"/>
      <w:b/>
      <w:i w:val="0"/>
      <w:color w:val="1B4332"/>
      <w:sz w:val="20"/>
    </w:rPr>
  </w:style>
  <w:style w:type="paragraph" w:customStyle="1" w:styleId="WS_Body">
    <w:name w:val="WS_Body"/>
    <w:basedOn w:val="Normal"/>
    <w:pPr>
      <w:spacing w:before="0" w:after="80"/>
    </w:pPr>
    <w:rPr>
      <w:rFonts w:ascii="Calibri" w:hAnsi="Calibri"/>
      <w:b w:val="0"/>
      <w:i w:val="0"/>
      <w:color w:val="1A1A1A"/>
      <w:sz w:val="19"/>
    </w:rPr>
  </w:style>
  <w:style w:type="paragraph" w:customStyle="1" w:styleId="WS_Bold">
    <w:name w:val="WS_Bold"/>
    <w:basedOn w:val="Normal"/>
    <w:pPr>
      <w:spacing w:before="0" w:after="80"/>
    </w:pPr>
    <w:rPr>
      <w:rFonts w:ascii="Calibri" w:hAnsi="Calibri"/>
      <w:b/>
      <w:i w:val="0"/>
      <w:color w:val="1A1A1A"/>
      <w:sz w:val="19"/>
    </w:rPr>
  </w:style>
  <w:style w:type="paragraph" w:customStyle="1" w:styleId="WS_Bullet">
    <w:name w:val="WS_Bullet"/>
    <w:basedOn w:val="Normal"/>
    <w:pPr>
      <w:spacing w:before="0" w:after="40"/>
    </w:pPr>
    <w:rPr>
      <w:rFonts w:ascii="Calibri" w:hAnsi="Calibri"/>
      <w:b w:val="0"/>
      <w:i w:val="0"/>
      <w:color w:val="1A1A1A"/>
      <w:sz w:val="18"/>
    </w:rPr>
  </w:style>
  <w:style w:type="paragraph" w:customStyle="1" w:styleId="WS_Caption">
    <w:name w:val="WS_Caption"/>
    <w:basedOn w:val="Normal"/>
    <w:pPr>
      <w:spacing w:before="0" w:after="80"/>
      <w:jc w:val="center"/>
    </w:pPr>
    <w:rPr>
      <w:rFonts w:ascii="Calibri" w:hAnsi="Calibri"/>
      <w:b w:val="0"/>
      <w:i/>
      <w:color w:val="555555"/>
      <w:sz w:val="16"/>
    </w:rPr>
  </w:style>
  <w:style w:type="paragraph" w:customStyle="1" w:styleId="WS_TH">
    <w:name w:val="WS_TH"/>
    <w:basedOn w:val="Normal"/>
    <w:pPr>
      <w:spacing w:before="0" w:after="0"/>
      <w:jc w:val="center"/>
    </w:pPr>
    <w:rPr>
      <w:rFonts w:ascii="Calibri" w:hAnsi="Calibri"/>
      <w:b/>
      <w:i w:val="0"/>
      <w:color w:val="FFFFFF"/>
      <w:sz w:val="17"/>
    </w:rPr>
  </w:style>
  <w:style w:type="paragraph" w:customStyle="1" w:styleId="WS_TD">
    <w:name w:val="WS_TD"/>
    <w:basedOn w:val="Normal"/>
    <w:pPr>
      <w:spacing w:before="0" w:after="0"/>
    </w:pPr>
    <w:rPr>
      <w:rFonts w:ascii="Calibri" w:hAnsi="Calibri"/>
      <w:b w:val="0"/>
      <w:i w:val="0"/>
      <w:color w:val="1A1A1A"/>
      <w:sz w:val="17"/>
    </w:rPr>
  </w:style>
  <w:style w:type="paragraph" w:customStyle="1" w:styleId="WS_TDC">
    <w:name w:val="WS_TDC"/>
    <w:basedOn w:val="Normal"/>
    <w:pPr>
      <w:spacing w:before="0" w:after="0"/>
      <w:jc w:val="center"/>
    </w:pPr>
    <w:rPr>
      <w:rFonts w:ascii="Calibri" w:hAnsi="Calibri"/>
      <w:b w:val="0"/>
      <w:i w:val="0"/>
      <w:color w:val="1A1A1A"/>
      <w:sz w:val="17"/>
    </w:rPr>
  </w:style>
  <w:style w:type="paragraph" w:customStyle="1" w:styleId="WS_TDB">
    <w:name w:val="WS_TDB"/>
    <w:basedOn w:val="Normal"/>
    <w:pPr>
      <w:spacing w:before="0" w:after="0"/>
    </w:pPr>
    <w:rPr>
      <w:rFonts w:ascii="Calibri" w:hAnsi="Calibri"/>
      <w:b/>
      <w:i w:val="0"/>
      <w:color w:val="1B4332"/>
      <w:sz w:val="17"/>
    </w:rPr>
  </w:style>
  <w:style w:type="paragraph" w:customStyle="1" w:styleId="WS_Note">
    <w:name w:val="WS_Note"/>
    <w:basedOn w:val="Normal"/>
    <w:pPr>
      <w:spacing w:before="0" w:after="60"/>
    </w:pPr>
    <w:rPr>
      <w:rFonts w:ascii="Calibri" w:hAnsi="Calibri"/>
      <w:b w:val="0"/>
      <w:i/>
      <w:color w:val="C0392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 — Non-Infectious Pathology in Asian Elephants</dc:title>
  <dc:subject/>
  <dc:creator>Chhattisgarh Forest Department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