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332"/>
          </w:tcPr>
          <w:p>
            <w:pPr>
              <w:pStyle w:val="WS_Title"/>
              <w:spacing w:before="120" w:after="120"/>
            </w:pPr>
            <w:r>
              <w:rPr>
                <w:color w:val="52B788"/>
                <w:sz w:val="16"/>
              </w:rPr>
              <w:t>CHAPTER 7</w:t>
            </w:r>
            <w:r>
              <w:br/>
            </w:r>
            <w:r>
              <w:rPr>
                <w:b/>
                <w:color w:val="FFFFFF"/>
                <w:sz w:val="32"/>
              </w:rPr>
              <w:t>Postmortem Examination of the Asian Elephant</w:t>
            </w:r>
            <w:r>
              <w:br/>
            </w:r>
            <w:r>
              <w:rPr>
                <w:i/>
                <w:color w:val="D8F3DC"/>
                <w:sz w:val="19"/>
              </w:rPr>
              <w:t>Principles, Procedure, Documentation &amp; Differential Diagnosis</w:t>
            </w:r>
            <w:r>
              <w:br/>
              <w:br/>
            </w:r>
            <w:r>
              <w:rPr>
                <w:color w:val="D8F3DC"/>
                <w:sz w:val="17"/>
              </w:rPr>
              <w:t>Prof. Dr. A. B. Shrivastav  |  NDVSU, Jabalpur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"The carcass never tells a lie — but you must know how to ask the right questions."  — Dr. R. K. Satpati, Wildlife Institute of India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1. Introduction &amp; Definitions</w:t>
            </w:r>
          </w:p>
        </w:tc>
      </w:tr>
    </w:tbl>
    <w:p/>
    <w:p>
      <w:pPr>
        <w:pStyle w:val="WS_Body"/>
      </w:pPr>
      <w:r>
        <w:t>Postmortem (PM) examination — necropsy — is the systematic, methodical examination of a dead animal to determine the cause of death, manner of death, and contributing factors. In wildlife forensics, the necropsy report may be the primary evidence in legal proceedings.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708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Necropsy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Postmortem examination of an animal (Gr: nekros = dead, opsis = view)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Autopsy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Postmortem examination of a human (same methodology — different subject)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Cause of Death (CoD)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The pathological condition or injury directly responsible for death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Manner of Death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Natural, accidental, homicidal, suicidal, undetermined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Contributing Factor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A condition that worsened the outcome but was not the direct cause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Time Since Death (TSD)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Estimated interval since death — based on PM changes, temperature, entomology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Chain of Custody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Documented chronological record of sample handling from collection to lab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Rigor Mortis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Temporary muscle stiffening 2–6 hrs post-death; resolves by 24–36 hrs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Livor Mortis</w:t>
            </w:r>
          </w:p>
        </w:tc>
        <w:tc>
          <w:tcPr>
            <w:tcW w:type="dxa" w:w="7087"/>
            <w:shd w:val="clear" w:color="auto" w:fill="FFFFFF"/>
          </w:tcPr>
          <w:p>
            <w:pPr>
              <w:pStyle w:val="WS_TD"/>
              <w:spacing w:before="40" w:after="40"/>
            </w:pPr>
            <w:r>
              <w:t>Purple discolouration of dependent (lowest) body surfaces due to blood pooling</w:t>
            </w:r>
          </w:p>
        </w:tc>
      </w:tr>
      <w:tr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Algor Mortis</w:t>
            </w:r>
          </w:p>
        </w:tc>
        <w:tc>
          <w:tcPr>
            <w:tcW w:type="dxa" w:w="7087"/>
            <w:shd w:val="clear" w:color="auto" w:fill="EAF7EE"/>
          </w:tcPr>
          <w:p>
            <w:pPr>
              <w:pStyle w:val="WS_TD"/>
              <w:spacing w:before="40" w:after="40"/>
            </w:pPr>
            <w:r>
              <w:t>Body temperature drop post-death (~1°C/hr in still air at 20°C)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Six Key Principles of Elephant Necropsy</w:t>
      </w:r>
    </w:p>
    <w:p>
      <w:pPr>
        <w:pStyle w:val="WS_Bullet"/>
        <w:ind w:left="283" w:hanging="170"/>
      </w:pPr>
      <w:r>
        <w:t>• 1. SPEED: PM within 6 hours of death ideally — tropical climate causes rapid decomposition. Maximum 12 hours.</w:t>
      </w:r>
    </w:p>
    <w:p>
      <w:pPr>
        <w:pStyle w:val="WS_Bullet"/>
        <w:ind w:left="283" w:hanging="170"/>
      </w:pPr>
      <w:r>
        <w:t>• 2. SAFETY: PPE mandatory — gloves (double), N95 mask, eye protection, gown, waterproof boots.</w:t>
      </w:r>
    </w:p>
    <w:p>
      <w:pPr>
        <w:pStyle w:val="WS_Bullet"/>
        <w:ind w:left="283" w:hanging="170"/>
      </w:pPr>
      <w:r>
        <w:t>• 3. SYSTEMATIC: Follow a fixed sequence every time — external → internal (thorax → abdomen → head). Never skip steps.</w:t>
      </w:r>
    </w:p>
    <w:p>
      <w:pPr>
        <w:pStyle w:val="WS_Bullet"/>
        <w:ind w:left="283" w:hanging="170"/>
      </w:pPr>
      <w:r>
        <w:t>• 4. SAMPLING: Collect ALL samples from the master list before organ examination — samples come first, findings second.</w:t>
      </w:r>
    </w:p>
    <w:p>
      <w:pPr>
        <w:pStyle w:val="WS_Bullet"/>
        <w:ind w:left="283" w:hanging="170"/>
      </w:pPr>
      <w:r>
        <w:t>• 5. DOCUMENTATION: Photograph every finding before disturbing. GPS coordinates of site. Written notes in field notebook.</w:t>
      </w:r>
    </w:p>
    <w:p>
      <w:pPr>
        <w:pStyle w:val="WS_Bullet"/>
        <w:ind w:left="283" w:hanging="170"/>
      </w:pPr>
      <w:r>
        <w:t>• 6. CHAIN OF CUSTODY: Label every sample immediately. Fill submission form. Witness signature on all forensic samples.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2. Pre-Necropsy Preparation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Requirements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Team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Minimum 4 persons: 1 veterinarian (PM lead), 1 assistant (scribing), 1 photographer, 1 sample handler + 2–4 mahouts/field staff for positioning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Documentation kit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Field notebook, permanent markers, sample labels, GPS device or phone, camera (charged), body measurement tape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PPE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Double gloves, N95 masks (min. 6 per person), full gown/PPE suit, eye shield/goggles, waterproof boots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Instruments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2 large knives (postmortem knives, sharpened), hand saw or bone saw, rib shears or heavy scissors, spreader, forceps, sample jars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Sample supplies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tubes, red-top tubes, sterile zip-locks, NBF jars (pre-filled 10%), VTM tubes, sterile swabs, wide-mouth sterile containers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Cold chain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Ice box with ice packs (minimum 2 kg ice per case), sealed cold packs; freezer access within 6 hrs preferred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Legal documents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PM requisition letter, chain of custody forms, official field report template, camera with date/GPS metadata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3. Post-Mortem Examination — Step-by-Step Workflow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311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4819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Key Observations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1. Scene Assessment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GPS, photographs of scene, position of body, surrounding environment, evidence (wire, tracks)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Note any electric wire, water body, tracks, disturbance, vegetation damage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2. External Examination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Body condition score; skin; wounds; orifices; sex; age estimate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Char marks, trauma, discharge, dehydration, skin lesions — all photographed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3. Body Measurements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Shoulder height, head length, tusk length/weight, body weight estimate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Required for age estimation, sex confirmation, forensic records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4. PM Change Assessment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Rigor, livor, decomposition stage, bloat, skin slippage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Estimate time since death; affects sample viability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5. Blood Collection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Jugular/cardiac puncture for EDTA + serum tubes before opening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Critical — do before any incision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6. Skin Incision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From jaw to perineum along ventral midline; reflect skin laterally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Examine subcutaneous tissue, mammary glands, muscle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7. Thoracic Cavity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Cut through ribs; note lung position, fluid, adhesions; examine pericardium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Assess lungs (drowning), heart (electrocution/EMCV), fluid volumes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8. Abdominal Cavity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Open from xiphoid to pubis; assess organs in situ before removal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Assess liver, spleen, GI tract, reproductive organs, kidney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9. Organ Examination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Remove and examine each organ systematically; note size, weight, texture, colour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Collect fresh + fixed samples from each organ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10. Head Examination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Remove head; saw calvarium; examine brain; examine oral cavity, teeth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Age by molar; brain for rabies/NiV; nasal turbinates for herpes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11. Molar Age Estimation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Identify which molar set is in wear; count laminae</w:t>
            </w:r>
          </w:p>
        </w:tc>
        <w:tc>
          <w:tcPr>
            <w:tcW w:type="dxa" w:w="4819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Record which M (M1–M6) is present in each jaw quadrant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12. Lymph Node Survey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Sample superficial + deep lymph nodes systematically</w:t>
            </w:r>
          </w:p>
        </w:tc>
        <w:tc>
          <w:tcPr>
            <w:tcW w:type="dxa" w:w="4819"/>
            <w:shd w:val="clear" w:color="auto" w:fill="EAF7EE"/>
          </w:tcPr>
          <w:p>
            <w:pPr>
              <w:pStyle w:val="WS_TD"/>
              <w:spacing w:before="40" w:after="40"/>
            </w:pPr>
            <w:r>
              <w:t>Enlargement, abscessation, necrosis — key TB/EEHV indicator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4. Post-Mortem Changes — Time Estimation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PM Change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Onset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311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Use for TSD Estimation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Algor mortis (body cooling)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Immediate — 1°C/hr in still air at 20°C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Until ambient temp reached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Core temp at PM vs ambient → estimate hrs post-death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Rigor mortis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2–6 hrs post-death (faster in heat)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Complete by 12 hrs; resolves by 24–48 hrs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Present = &lt;24 hrs; absent after resolution = &gt;48 hrs or very early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Livor mortis (lividity)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1–3 hrs post-death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Fixed by 8–12 hrs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Blanches = &lt;8 hrs; fixed = &gt;12 hrs; position of body tells repositioning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5. Molar Age Estimation Guide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Molar Set</w:t>
            </w:r>
          </w:p>
        </w:tc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Age in Wear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Laminae Count</w:t>
            </w:r>
          </w:p>
        </w:tc>
        <w:tc>
          <w:tcPr>
            <w:tcW w:type="dxa" w:w="51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Field Identification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M1 (dp2)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0–2 years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3–4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Tiny — often shed before examination; calf only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M2 (dp3)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2–4 years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4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Small — seen in lower jaw of young calves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M3 (dp4)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4–10 years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5–6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Medium — main tooth in juveniles; distinct front edge worn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M4 (M1)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8–22 years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7–8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Sub-adult to young adult — most common in CG casualties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M5 (M2)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15–45 years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9–10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Adult elephant — large, wide; deeply worn ridges</w:t>
            </w:r>
          </w:p>
        </w:tc>
      </w:tr>
      <w:tr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M6 (M3)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30+ years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12–14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Old elephant — last set; wear indicates remaining lifespan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6. Instruments &amp; Equipment List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425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Use</w:t>
            </w:r>
          </w:p>
        </w:tc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Quantity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Postmortem knife (large)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Primary incisions, organ sectioning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2 (one spare)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Butcher knife / boning knife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Muscle dissection, skinning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Hand saw or reciprocating bone saw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Rib cuts, calvarium opening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Rib shears / heavy scissors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Costal cartilage, pericardium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 pair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Enterotome (intestinal scissors)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Opening intestines and stomach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Brain knife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Sectioning brain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Forceps (toothed &amp; plain)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Tissue handling, lymph node dissection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2 pairs each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Spreader / retractor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Holding cavity open during examination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Steel ruler/measuring tape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measurements, wound dimensions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 each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Scale (spring balance)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Organ weights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 (10 kg capacity)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Hacksaw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Tusk/bone cutting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Grinding stone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Sharpening knives in field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Rope &amp; pulleys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Positioning carcass — essential for elephant size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10 m rope × 4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Tarpaulin sheet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Working surface under carcass; sample table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 (4 × 4 m)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Generator + lights</w:t>
            </w:r>
          </w:p>
        </w:tc>
        <w:tc>
          <w:tcPr>
            <w:tcW w:type="dxa" w:w="4252"/>
            <w:shd w:val="clear" w:color="auto" w:fill="FFFFFF"/>
          </w:tcPr>
          <w:p>
            <w:pPr>
              <w:pStyle w:val="WS_TD"/>
              <w:spacing w:before="40" w:after="40"/>
            </w:pPr>
            <w:r>
              <w:t>If PM after sunset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As available</w:t>
            </w:r>
          </w:p>
        </w:tc>
      </w:tr>
      <w:tr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Chainsaw/axe</w:t>
            </w:r>
          </w:p>
        </w:tc>
        <w:tc>
          <w:tcPr>
            <w:tcW w:type="dxa" w:w="4252"/>
            <w:shd w:val="clear" w:color="auto" w:fill="EAF7EE"/>
          </w:tcPr>
          <w:p>
            <w:pPr>
              <w:pStyle w:val="WS_TD"/>
              <w:spacing w:before="40" w:after="40"/>
            </w:pPr>
            <w:r>
              <w:t>Carcass disposal after PM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As required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7. External Examination Checklist (11 Points)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20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What to Look For / Record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Condition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Emaciated / Poor / Fair / Good / Obese; muscle wastage</w:t>
            </w:r>
          </w:p>
        </w:tc>
      </w:tr>
      <w:tr>
        <w:tc>
          <w:tcPr>
            <w:tcW w:type="dxa" w:w="4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2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Sex Identification</w:t>
            </w:r>
          </w:p>
        </w:tc>
        <w:tc>
          <w:tcPr>
            <w:tcW w:type="dxa" w:w="7200"/>
            <w:shd w:val="clear" w:color="auto" w:fill="EAF7EE"/>
          </w:tcPr>
          <w:p>
            <w:pPr>
              <w:pStyle w:val="WS_TD"/>
              <w:spacing w:before="40" w:after="40"/>
            </w:pPr>
            <w:r>
              <w:t>External genitalia; inter-mammary distance (females); tusk presence/absence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3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Age Estimation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size class; molar palpation; shoulder height — correlated to age chart</w:t>
            </w:r>
          </w:p>
        </w:tc>
      </w:tr>
      <w:tr>
        <w:tc>
          <w:tcPr>
            <w:tcW w:type="dxa" w:w="4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4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Skin Condition</w:t>
            </w:r>
          </w:p>
        </w:tc>
        <w:tc>
          <w:tcPr>
            <w:tcW w:type="dxa" w:w="7200"/>
            <w:shd w:val="clear" w:color="auto" w:fill="EAF7EE"/>
          </w:tcPr>
          <w:p>
            <w:pPr>
              <w:pStyle w:val="WS_TD"/>
              <w:spacing w:before="40" w:after="40"/>
            </w:pPr>
            <w:r>
              <w:t>Wounds, char marks, ulcers, pox lesions, depigmentation patterns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5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Head &amp; Face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Eyes (corneal clarity), temporal gland swelling, depigmentation pattern on trunk/face</w:t>
            </w:r>
          </w:p>
        </w:tc>
      </w:tr>
      <w:tr>
        <w:tc>
          <w:tcPr>
            <w:tcW w:type="dxa" w:w="4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6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Trunk Examination</w:t>
            </w:r>
          </w:p>
        </w:tc>
        <w:tc>
          <w:tcPr>
            <w:tcW w:type="dxa" w:w="7200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Discharge (nasal, oral) — character, colour, smell; swab for culture/PCR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7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Feet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Sole condition, nail cracks, arthritis, pad injury; entry/exit wounds for electrocution</w:t>
            </w:r>
          </w:p>
        </w:tc>
      </w:tr>
      <w:tr>
        <w:tc>
          <w:tcPr>
            <w:tcW w:type="dxa" w:w="4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8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Tail</w:t>
            </w:r>
          </w:p>
        </w:tc>
        <w:tc>
          <w:tcPr>
            <w:tcW w:type="dxa" w:w="7200"/>
            <w:shd w:val="clear" w:color="auto" w:fill="EAF7EE"/>
          </w:tcPr>
          <w:p>
            <w:pPr>
              <w:pStyle w:val="WS_TD"/>
              <w:spacing w:before="40" w:after="40"/>
            </w:pPr>
            <w:r>
              <w:t>Length, condition; note if cut (poaching indicator)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9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Tusk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Present/absent; length, weight, tip condition; saw cuts (poaching); damage pattern</w:t>
            </w:r>
          </w:p>
        </w:tc>
      </w:tr>
      <w:tr>
        <w:tc>
          <w:tcPr>
            <w:tcW w:type="dxa" w:w="454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Genitalia</w:t>
            </w:r>
          </w:p>
        </w:tc>
        <w:tc>
          <w:tcPr>
            <w:tcW w:type="dxa" w:w="7200"/>
            <w:shd w:val="clear" w:color="auto" w:fill="EAF7EE"/>
          </w:tcPr>
          <w:p>
            <w:pPr>
              <w:pStyle w:val="WS_TD"/>
              <w:spacing w:before="40" w:after="40"/>
            </w:pPr>
            <w:r>
              <w:t>Female: lactation, pregnancy signs, vulval discharge; Male: scrotal abnormalities, musth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pStyle w:val="WS_TD"/>
              <w:spacing w:before="40" w:after="40"/>
            </w:pPr>
            <w:r>
              <w:t>11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Body Orifices</w:t>
            </w:r>
          </w:p>
        </w:tc>
        <w:tc>
          <w:tcPr>
            <w:tcW w:type="dxa" w:w="7200"/>
            <w:shd w:val="clear" w:color="auto" w:fill="FFFFFF"/>
          </w:tcPr>
          <w:p>
            <w:pPr>
              <w:pStyle w:val="WS_TD"/>
              <w:spacing w:before="40" w:after="40"/>
            </w:pPr>
            <w:r>
              <w:t>Nasal: discharge / froth / blood. Oral: ulcers, abnormal wear. Anus: haemorrhage, odour, content colour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8. Lymph Node Survey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Superficial Lymph Nodes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Node</w:t>
            </w:r>
          </w:p>
        </w:tc>
        <w:tc>
          <w:tcPr>
            <w:tcW w:type="dxa" w:w="311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Drains (Region)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Parotid LN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Ventral to ear, lateral to masseter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Head, ear, parotid gland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Submandibular LN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Under jaw, near salivary gland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Lower jaw, tongue, floor of mouth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Prescapular LN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Cranial to shoulder joint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Forelimb, shoulder, neck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Inguinal LN</w:t>
            </w:r>
          </w:p>
        </w:tc>
        <w:tc>
          <w:tcPr>
            <w:tcW w:type="dxa" w:w="3118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Groin/medial thigh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Hindlimb, mammary gland (female), prepuce (male)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Popliteal LN</w:t>
            </w:r>
          </w:p>
        </w:tc>
        <w:tc>
          <w:tcPr>
            <w:tcW w:type="dxa" w:w="311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Caudal to stifle joint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Distal hindlimb, foot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Deep Lymph Nodes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Node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Clinical Significance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Mediastinal LN (cranial)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Thoracic cavity, near tracheal bifurcation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TB (most enlarged here); EEHV; lung pathology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Mesenteric LN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Root of mesentery — GI tract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Salmonella, Clostridium, intestinal TB, Johnes disease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Hepatic/Portal LN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Hepatic hilum, near portal vein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 disease, TB, EEHV haemorrhagic disease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9. EEHV Histopathological Features</w:t>
            </w:r>
          </w:p>
        </w:tc>
      </w:tr>
    </w:tbl>
    <w:p/>
    <w:p>
      <w:pPr>
        <w:pStyle w:val="WS_Body"/>
      </w:pPr>
      <w:r>
        <w:t>Elephant Endotheliotropic Herpesvirus (EEHV) causes haemorrhagic disease primarily in calves 1–8 years. Histopathology is essential for confirmation when PCR is unavailable or negative in decomposed samples.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Organ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Histopathological Finding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Blood vessel endothelium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Intranuclear herpesviral inclusion bodies (Cowdry type A) in endothelial cells — PATHOGNOMONIC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Heart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Myocarditis; endothelial inclusions in cardiac vessels; myofibre degeneration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Tongue/mouth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Ulceration; endothelial inclusions in submucosal vessels; haemorrhage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Hepatocyte degeneration; periportal haemorrhage; endothelial inclusions in sinusoids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Spleen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Lymphoid depletion; haemorrhage; endothelial inclusions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Lung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Oedema; haemorrhage; endothelial inclusions in alveolar vessels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Lymph nodes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Haemorrhage; lymphoid depletion; fibrinous exudate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10. Differential Diagnosis — Key Elephant Deaths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Disease/Condition</w:t>
            </w:r>
          </w:p>
        </w:tc>
        <w:tc>
          <w:tcPr>
            <w:tcW w:type="dxa" w:w="368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Key Distinguishing PM Finding</w:t>
            </w:r>
          </w:p>
        </w:tc>
        <w:tc>
          <w:tcPr>
            <w:tcW w:type="dxa" w:w="368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Confirmatory Test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EEHV haemorrhagic disease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Intranuclear inclusions in endothelium; generalised haemorrhage; calf 1–8 yrs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qPCR (blood, spleen); IHC for EEHV antigen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Tuberculosis (TB)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Granulomata in lungs/LN; caseous necrosis; Langhans cells in histo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Trunk wash culture (MGIT); PCR; ELISA (ElephantTB STAT-PAK)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Anthrax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Peracute death; bloody orifice discharge; no rigor mortis; DO NOT OPEN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McFadyean stain (blood smear); FAT; PCR — call BSL-3 support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CPA Toxicosis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Pale friable liver; haemorrhagic enteritis; no specific inclusions; millet in stomach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LC-MS for CPA in stomach contents and liver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Electrocution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Char marks at entry/exit; cardiac arrest; no organ-specific pathology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Scene investigation + gross PM + wire/equipment analysis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Drowning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Waterlogged lungs; frothy tracheal discharge; water in GI; no char marks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Diatom test (bone marrow); exclude other causes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Rabies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Behavioural changes ante-mortem; aggression; carcass found in forest</w:t>
            </w:r>
          </w:p>
        </w:tc>
        <w:tc>
          <w:tcPr>
            <w:tcW w:type="dxa" w:w="3685"/>
            <w:shd w:val="clear" w:color="auto" w:fill="FFFFFF"/>
          </w:tcPr>
          <w:p>
            <w:pPr>
              <w:pStyle w:val="WS_TD"/>
              <w:spacing w:before="40" w:after="40"/>
            </w:pPr>
            <w:r>
              <w:t>Seller's stain (brain smear); FAT; PCR on brain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HCN Poisoning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Cherry-red blood; bitter almond smell; peracute death</w:t>
            </w:r>
          </w:p>
        </w:tc>
        <w:tc>
          <w:tcPr>
            <w:tcW w:type="dxa" w:w="3685"/>
            <w:shd w:val="clear" w:color="auto" w:fill="EAF7EE"/>
          </w:tcPr>
          <w:p>
            <w:pPr>
              <w:pStyle w:val="WS_TD"/>
              <w:spacing w:before="40" w:after="40"/>
            </w:pPr>
            <w:r>
              <w:t>Conway microdiffusion (fresh stomach contents) — run immediately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Panna Tiger Reserve — Rabies Case (Reference Case)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Location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Panna Tiger Reserve, Madhya Pradesh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Clinical signs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Progressive behavioural change: restlessness → aggression → inability to swallow → paralysis → death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PM findings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No specific gross lesion; mild cerebral congestion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Diagnosis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Seller's stain: Negri bodies in Purkinje cells and pyramidal neurons of hippocampus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FAT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Positive for Rabies antigen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Significance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Demonstrates that wildlife rabies occurs in elephants — usually transmitted via bite from infected dog or wild carnivore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PPE Note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FULL PPE for brain examination when rabies suspected — zoonotic and fatal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11. PM Report — Documentation Checklist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7370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Items to Include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Case Identification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Case No., Date, Time, GPS of site, Forest Division, Range, Beat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Animal Details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Species, Sex, Age class, Body weight estimate, Tusk status, ID marks (deformities, notches)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History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Date/time found dead, last seen alive, reporting person, circumstances, recent herd activity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External Examination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All 11-point checklist items; wound measurements; photographs with scale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PM Changes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Rigor/livor/algor status; decomposition stage; estimated time since death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Thoracic Cavity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Fluid volumes; lung (left/right separately); heart; pericardium; mediastinal LN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Abdominal Cavity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Liver; spleen; kidneys; GI tract (each segment); reproductive organs; mesenteric LN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Head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Brain; molar teeth (M1–M6 — which in wear, which quadrants); nasal turbinates; tongue; eyes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Samples Collected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Complete list with container type, volume, preservation method, and cold chain status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Provisional CoD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Based on gross PM — to be confirmed by laboratory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Recommendations</w:t>
            </w:r>
          </w:p>
        </w:tc>
        <w:tc>
          <w:tcPr>
            <w:tcW w:type="dxa" w:w="7370"/>
            <w:shd w:val="clear" w:color="auto" w:fill="FFFFFF"/>
          </w:tcPr>
          <w:p>
            <w:pPr>
              <w:pStyle w:val="WS_TD"/>
              <w:spacing w:before="40" w:after="40"/>
            </w:pPr>
            <w:r>
              <w:t>Any immediate management action required; environmental investigation needed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Signatures</w:t>
            </w:r>
          </w:p>
        </w:tc>
        <w:tc>
          <w:tcPr>
            <w:tcW w:type="dxa" w:w="7370"/>
            <w:shd w:val="clear" w:color="auto" w:fill="EAF7EE"/>
          </w:tcPr>
          <w:p>
            <w:pPr>
              <w:pStyle w:val="WS_TD"/>
              <w:spacing w:before="40" w:after="40"/>
            </w:pPr>
            <w:r>
              <w:t>Lead veterinarian, assisting staff, forest officer present, date and official stamp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"Doctors who perform necropsies gain wisdom that no textbook can teach. The postmortem examination is the final clinical act — performed for the living, not the dead."  — Dr. A. B. Shrivastav, NDVSU Jabalpur (2014)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_Title">
    <w:name w:val="WS_Title"/>
    <w:basedOn w:val="Normal"/>
    <w:pPr>
      <w:spacing w:before="0" w:after="80"/>
      <w:jc w:val="center"/>
    </w:pPr>
    <w:rPr>
      <w:rFonts w:ascii="Calibri" w:hAnsi="Calibri"/>
      <w:b/>
      <w:i w:val="0"/>
      <w:color w:val="FFFFFF"/>
      <w:sz w:val="36"/>
    </w:rPr>
  </w:style>
  <w:style w:type="paragraph" w:customStyle="1" w:styleId="WS_Sub">
    <w:name w:val="WS_Sub"/>
    <w:basedOn w:val="Normal"/>
    <w:pPr>
      <w:spacing w:before="0" w:after="40"/>
      <w:jc w:val="center"/>
    </w:pPr>
    <w:rPr>
      <w:rFonts w:ascii="Calibri" w:hAnsi="Calibri"/>
      <w:b w:val="0"/>
      <w:i/>
      <w:color w:val="D8F3DC"/>
      <w:sz w:val="20"/>
    </w:rPr>
  </w:style>
  <w:style w:type="paragraph" w:customStyle="1" w:styleId="WS_H1">
    <w:name w:val="WS_H1"/>
    <w:basedOn w:val="Normal"/>
    <w:pPr>
      <w:spacing w:before="160" w:after="40"/>
    </w:pPr>
    <w:rPr>
      <w:rFonts w:ascii="Calibri" w:hAnsi="Calibri"/>
      <w:b/>
      <w:i w:val="0"/>
      <w:color w:val="FFFFFF"/>
      <w:sz w:val="22"/>
    </w:rPr>
  </w:style>
  <w:style w:type="paragraph" w:customStyle="1" w:styleId="WS_H2">
    <w:name w:val="WS_H2"/>
    <w:basedOn w:val="Normal"/>
    <w:pPr>
      <w:spacing w:before="120" w:after="40"/>
    </w:pPr>
    <w:rPr>
      <w:rFonts w:ascii="Calibri" w:hAnsi="Calibri"/>
      <w:b/>
      <w:i w:val="0"/>
      <w:color w:val="1B4332"/>
      <w:sz w:val="20"/>
    </w:rPr>
  </w:style>
  <w:style w:type="paragraph" w:customStyle="1" w:styleId="WS_Body">
    <w:name w:val="WS_Body"/>
    <w:basedOn w:val="Normal"/>
    <w:pPr>
      <w:spacing w:before="0" w:after="80"/>
    </w:pPr>
    <w:rPr>
      <w:rFonts w:ascii="Calibri" w:hAnsi="Calibri"/>
      <w:b w:val="0"/>
      <w:i w:val="0"/>
      <w:color w:val="1A1A1A"/>
      <w:sz w:val="19"/>
    </w:rPr>
  </w:style>
  <w:style w:type="paragraph" w:customStyle="1" w:styleId="WS_Bold">
    <w:name w:val="WS_Bold"/>
    <w:basedOn w:val="Normal"/>
    <w:pPr>
      <w:spacing w:before="0" w:after="80"/>
    </w:pPr>
    <w:rPr>
      <w:rFonts w:ascii="Calibri" w:hAnsi="Calibri"/>
      <w:b/>
      <w:i w:val="0"/>
      <w:color w:val="1A1A1A"/>
      <w:sz w:val="19"/>
    </w:rPr>
  </w:style>
  <w:style w:type="paragraph" w:customStyle="1" w:styleId="WS_Bullet">
    <w:name w:val="WS_Bullet"/>
    <w:basedOn w:val="Normal"/>
    <w:pPr>
      <w:spacing w:before="0" w:after="40"/>
    </w:pPr>
    <w:rPr>
      <w:rFonts w:ascii="Calibri" w:hAnsi="Calibri"/>
      <w:b w:val="0"/>
      <w:i w:val="0"/>
      <w:color w:val="1A1A1A"/>
      <w:sz w:val="18"/>
    </w:rPr>
  </w:style>
  <w:style w:type="paragraph" w:customStyle="1" w:styleId="WS_Caption">
    <w:name w:val="WS_Caption"/>
    <w:basedOn w:val="Normal"/>
    <w:pPr>
      <w:spacing w:before="0" w:after="80"/>
      <w:jc w:val="center"/>
    </w:pPr>
    <w:rPr>
      <w:rFonts w:ascii="Calibri" w:hAnsi="Calibri"/>
      <w:b w:val="0"/>
      <w:i/>
      <w:color w:val="555555"/>
      <w:sz w:val="16"/>
    </w:rPr>
  </w:style>
  <w:style w:type="paragraph" w:customStyle="1" w:styleId="WS_TH">
    <w:name w:val="WS_TH"/>
    <w:basedOn w:val="Normal"/>
    <w:pPr>
      <w:spacing w:before="0" w:after="0"/>
      <w:jc w:val="center"/>
    </w:pPr>
    <w:rPr>
      <w:rFonts w:ascii="Calibri" w:hAnsi="Calibri"/>
      <w:b/>
      <w:i w:val="0"/>
      <w:color w:val="FFFFFF"/>
      <w:sz w:val="17"/>
    </w:rPr>
  </w:style>
  <w:style w:type="paragraph" w:customStyle="1" w:styleId="WS_TD">
    <w:name w:val="WS_TD"/>
    <w:basedOn w:val="Normal"/>
    <w:pPr>
      <w:spacing w:before="0" w:after="0"/>
    </w:pPr>
    <w:rPr>
      <w:rFonts w:ascii="Calibri" w:hAnsi="Calibri"/>
      <w:b w:val="0"/>
      <w:i w:val="0"/>
      <w:color w:val="1A1A1A"/>
      <w:sz w:val="17"/>
    </w:rPr>
  </w:style>
  <w:style w:type="paragraph" w:customStyle="1" w:styleId="WS_TDC">
    <w:name w:val="WS_TDC"/>
    <w:basedOn w:val="Normal"/>
    <w:pPr>
      <w:spacing w:before="0" w:after="0"/>
      <w:jc w:val="center"/>
    </w:pPr>
    <w:rPr>
      <w:rFonts w:ascii="Calibri" w:hAnsi="Calibri"/>
      <w:b w:val="0"/>
      <w:i w:val="0"/>
      <w:color w:val="1A1A1A"/>
      <w:sz w:val="17"/>
    </w:rPr>
  </w:style>
  <w:style w:type="paragraph" w:customStyle="1" w:styleId="WS_TDB">
    <w:name w:val="WS_TDB"/>
    <w:basedOn w:val="Normal"/>
    <w:pPr>
      <w:spacing w:before="0" w:after="0"/>
    </w:pPr>
    <w:rPr>
      <w:rFonts w:ascii="Calibri" w:hAnsi="Calibri"/>
      <w:b/>
      <w:i w:val="0"/>
      <w:color w:val="1B4332"/>
      <w:sz w:val="17"/>
    </w:rPr>
  </w:style>
  <w:style w:type="paragraph" w:customStyle="1" w:styleId="WS_Note">
    <w:name w:val="WS_Note"/>
    <w:basedOn w:val="Normal"/>
    <w:pPr>
      <w:spacing w:before="0" w:after="60"/>
    </w:pPr>
    <w:rPr>
      <w:rFonts w:ascii="Calibri" w:hAnsi="Calibri"/>
      <w:b w:val="0"/>
      <w:i/>
      <w:color w:val="C0392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 — Postmortem Examination of the Asian Elephant</dc:title>
  <dc:subject/>
  <dc:creator>Chhattisgarh Forest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