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360" w:after="360"/>
              <w:jc w:val="center"/>
            </w:pPr>
            <w:r>
              <w:rPr>
                <w:rFonts w:ascii="Calibri" w:hAnsi="Calibri"/>
                <w:b/>
                <w:color w:val="52B788"/>
                <w:sz w:val="18"/>
              </w:rPr>
              <w:t>STUDY NOTES — ELABORATED</w:t>
              <w:br/>
            </w:r>
            <w:r>
              <w:rPr>
                <w:rFonts w:ascii="Calibri" w:hAnsi="Calibri"/>
                <w:b/>
                <w:color w:val="FFFFFF"/>
                <w:sz w:val="40"/>
              </w:rPr>
              <w:t>Biological and Anatomical Aspects of Elephants</w:t>
              <w:br/>
            </w:r>
            <w:r>
              <w:rPr>
                <w:rFonts w:ascii="Calibri" w:hAnsi="Calibri"/>
                <w:i/>
                <w:color w:val="D8F3DC"/>
                <w:sz w:val="20"/>
              </w:rPr>
              <w:t>Dr. Parag Nigam, PhD  ·  Head, Dept. of Wildlife Health Management</w:t>
              <w:br/>
              <w:t>Wildlife Institute of India, Dehradun</w:t>
            </w:r>
          </w:p>
        </w:tc>
      </w:tr>
    </w:tbl>
    <w:p/>
    <w:p>
      <w:pPr>
        <w:spacing w:before="80" w:after="40"/>
        <w:jc w:val="center"/>
      </w:pPr>
      <w:r>
        <w:drawing>
          <wp:inline xmlns:a="http://schemas.openxmlformats.org/drawingml/2006/main" xmlns:pic="http://schemas.openxmlformats.org/drawingml/2006/picture">
            <wp:extent cx="4680000" cy="2882609"/>
            <wp:docPr id="1" name="Picture 1"/>
            <wp:cNvGraphicFramePr>
              <a:graphicFrameLocks noChangeAspect="1"/>
            </wp:cNvGraphicFramePr>
            <a:graphic>
              <a:graphicData uri="http://schemas.openxmlformats.org/drawingml/2006/picture">
                <pic:pic>
                  <pic:nvPicPr>
                    <pic:cNvPr id="0" name="slide_01.png"/>
                    <pic:cNvPicPr/>
                  </pic:nvPicPr>
                  <pic:blipFill>
                    <a:blip r:embed="rId9"/>
                    <a:stretch>
                      <a:fillRect/>
                    </a:stretch>
                  </pic:blipFill>
                  <pic:spPr>
                    <a:xfrm>
                      <a:off x="0" y="0"/>
                      <a:ext cx="4680000" cy="2882609"/>
                    </a:xfrm>
                    <a:prstGeom prst="rect"/>
                  </pic:spPr>
                </pic:pic>
              </a:graphicData>
            </a:graphic>
          </wp:inline>
        </w:drawing>
      </w:r>
    </w:p>
    <w:p>
      <w:pPr>
        <w:spacing w:after="120"/>
        <w:jc w:val="center"/>
      </w:pPr>
      <w:r>
        <w:rPr>
          <w:rFonts w:ascii="Calibri" w:hAnsi="Calibri"/>
          <w:i/>
          <w:color w:val="555555"/>
          <w:sz w:val="16"/>
        </w:rPr>
        <w:t>Slide 1 — Title slide</w:t>
      </w:r>
    </w:p>
    <w:p>
      <w:pPr>
        <w:spacing w:before="80" w:after="40"/>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slide_02.png"/>
                    <pic:cNvPicPr/>
                  </pic:nvPicPr>
                  <pic:blipFill>
                    <a:blip r:embed="rId10"/>
                    <a:stretch>
                      <a:fillRect/>
                    </a:stretch>
                  </pic:blipFill>
                  <pic:spPr>
                    <a:xfrm>
                      <a:off x="0" y="0"/>
                      <a:ext cx="4680000" cy="2925000"/>
                    </a:xfrm>
                    <a:prstGeom prst="rect"/>
                  </pic:spPr>
                </pic:pic>
              </a:graphicData>
            </a:graphic>
          </wp:inline>
        </w:drawing>
      </w:r>
    </w:p>
    <w:p>
      <w:pPr>
        <w:spacing w:after="120"/>
        <w:jc w:val="center"/>
      </w:pPr>
      <w:r>
        <w:rPr>
          <w:rFonts w:ascii="Calibri" w:hAnsi="Calibri"/>
          <w:i/>
          <w:color w:val="555555"/>
          <w:sz w:val="16"/>
        </w:rPr>
        <w:t>Slide 2 — The Asian elephant: largest terrestrial mammal</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Source: Training Program "Essentials for Mortality Investigation of Asian Elephant"</w:t>
              <w:br/>
              <w:t>Chhattisgarh Forest Department  ·  5–6 June 2026, Raigarh  |  Technical Support: WII Dehradun</w:t>
              <w:br/>
              <w:t>Notes elaborated with peer-reviewed literature and web sources.</w:t>
            </w:r>
          </w:p>
        </w:tc>
      </w:tr>
    </w:tbl>
    <w:p>
      <w:pPr>
        <w:spacing w:after="40"/>
      </w:pPr>
    </w:p>
    <w:p>
      <w:pPr>
        <w:spacing w:before="0" w:after="0"/>
      </w:pPr>
      <w:r>
        <w:br w:type="page"/>
      </w:r>
    </w:p>
    <w:p>
      <w:pPr>
        <w:pStyle w:val="Heading1"/>
        <w:spacing w:before="160" w:after="40"/>
      </w:pPr>
      <w:r>
        <w:t>1.  Taxonomy, Classification &amp; Overview</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  Taxonomy, Classification &amp; Overview</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3" name="Picture 3"/>
            <wp:cNvGraphicFramePr>
              <a:graphicFrameLocks noChangeAspect="1"/>
            </wp:cNvGraphicFramePr>
            <a:graphic>
              <a:graphicData uri="http://schemas.openxmlformats.org/drawingml/2006/picture">
                <pic:pic>
                  <pic:nvPicPr>
                    <pic:cNvPr id="0" name="slide_03.png"/>
                    <pic:cNvPicPr/>
                  </pic:nvPicPr>
                  <pic:blipFill>
                    <a:blip r:embed="rId11"/>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3 — Three living species of elephants</w:t>
      </w:r>
    </w:p>
    <w:p>
      <w:pPr>
        <w:spacing w:before="80" w:after="4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slide_04.png"/>
                    <pic:cNvPicPr/>
                  </pic:nvPicPr>
                  <pic:blipFill>
                    <a:blip r:embed="rId12"/>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4 — Key facts: Asian elephant</w:t>
      </w:r>
    </w:p>
    <w:p>
      <w:pPr>
        <w:pStyle w:val="Heading2"/>
        <w:spacing w:before="80" w:after="40"/>
      </w:pPr>
      <w:r>
        <w:t>1.1  Evolutionary Position &amp; Order</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  Evolutionary Position &amp; Order</w:t>
            </w:r>
          </w:p>
        </w:tc>
      </w:tr>
    </w:tbl>
    <w:p>
      <w:pPr>
        <w:spacing w:after="40"/>
      </w:pPr>
    </w:p>
    <w:p>
      <w:pPr>
        <w:spacing w:after="80"/>
        <w:jc w:val="left"/>
      </w:pPr>
      <w:r>
        <w:rPr>
          <w:rFonts w:ascii="Calibri" w:hAnsi="Calibri"/>
          <w:b w:val="0"/>
          <w:i w:val="0"/>
          <w:color w:val="1A1A1A"/>
          <w:sz w:val="19"/>
        </w:rPr>
        <w:t>Elephants belong to Order Proboscidea — one of the oldest surviving mammalian orders, with a fossil record extending back ~55 million years to the Paleocene epoch. At its peak, Proboscidea comprised over 160 species across all continents except Australia and Antarctica. Today only three species remain, all in the Family Elephantidae.</w:t>
      </w:r>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jc w:val="center"/>
            </w:pPr>
            <w:r>
              <w:rPr>
                <w:rFonts w:ascii="Calibri" w:hAnsi="Calibri"/>
                <w:b/>
                <w:color w:val="FFFFFF"/>
                <w:sz w:val="17"/>
              </w:rPr>
              <w:t>Taxonomic Rank</w:t>
            </w:r>
          </w:p>
        </w:tc>
        <w:tc>
          <w:tcPr>
            <w:tcW w:type="dxa" w:w="5953"/>
            <w:shd w:val="clear" w:color="auto" w:fill="2D6A4F"/>
          </w:tcPr>
          <w:p>
            <w:pPr>
              <w:jc w:val="center"/>
            </w:pPr>
            <w:r>
              <w:rPr>
                <w:rFonts w:ascii="Calibri" w:hAnsi="Calibri"/>
                <w:b/>
                <w:color w:val="FFFFFF"/>
                <w:sz w:val="17"/>
              </w:rPr>
              <w:t>Classification</w:t>
            </w:r>
          </w:p>
        </w:tc>
      </w:tr>
      <w:tr>
        <w:tc>
          <w:tcPr>
            <w:tcW w:type="dxa" w:w="2835"/>
            <w:shd w:val="clear" w:color="auto" w:fill="FFFFFF"/>
          </w:tcPr>
          <w:p>
            <w:r>
              <w:rPr>
                <w:rFonts w:ascii="Calibri" w:hAnsi="Calibri"/>
                <w:b w:val="0"/>
                <w:color w:val="1A1A1A"/>
                <w:sz w:val="17"/>
              </w:rPr>
              <w:t>Kingdom</w:t>
            </w:r>
          </w:p>
        </w:tc>
        <w:tc>
          <w:tcPr>
            <w:tcW w:type="dxa" w:w="5953"/>
            <w:shd w:val="clear" w:color="auto" w:fill="FFFFFF"/>
          </w:tcPr>
          <w:p>
            <w:r>
              <w:rPr>
                <w:rFonts w:ascii="Calibri" w:hAnsi="Calibri"/>
                <w:b w:val="0"/>
                <w:color w:val="1A1A1A"/>
                <w:sz w:val="17"/>
              </w:rPr>
              <w:t>Animalia</w:t>
            </w:r>
          </w:p>
        </w:tc>
      </w:tr>
      <w:tr>
        <w:tc>
          <w:tcPr>
            <w:tcW w:type="dxa" w:w="2835"/>
            <w:shd w:val="clear" w:color="auto" w:fill="EAF7EE"/>
          </w:tcPr>
          <w:p>
            <w:r>
              <w:rPr>
                <w:rFonts w:ascii="Calibri" w:hAnsi="Calibri"/>
                <w:b w:val="0"/>
                <w:color w:val="1A1A1A"/>
                <w:sz w:val="17"/>
              </w:rPr>
              <w:t>Phylum</w:t>
            </w:r>
          </w:p>
        </w:tc>
        <w:tc>
          <w:tcPr>
            <w:tcW w:type="dxa" w:w="5953"/>
            <w:shd w:val="clear" w:color="auto" w:fill="EAF7EE"/>
          </w:tcPr>
          <w:p>
            <w:r>
              <w:rPr>
                <w:rFonts w:ascii="Calibri" w:hAnsi="Calibri"/>
                <w:b w:val="0"/>
                <w:color w:val="1A1A1A"/>
                <w:sz w:val="17"/>
              </w:rPr>
              <w:t>Chordata</w:t>
            </w:r>
          </w:p>
        </w:tc>
      </w:tr>
      <w:tr>
        <w:tc>
          <w:tcPr>
            <w:tcW w:type="dxa" w:w="2835"/>
            <w:shd w:val="clear" w:color="auto" w:fill="FFFFFF"/>
          </w:tcPr>
          <w:p>
            <w:r>
              <w:rPr>
                <w:rFonts w:ascii="Calibri" w:hAnsi="Calibri"/>
                <w:b w:val="0"/>
                <w:color w:val="1A1A1A"/>
                <w:sz w:val="17"/>
              </w:rPr>
              <w:t>Class</w:t>
            </w:r>
          </w:p>
        </w:tc>
        <w:tc>
          <w:tcPr>
            <w:tcW w:type="dxa" w:w="5953"/>
            <w:shd w:val="clear" w:color="auto" w:fill="FFFFFF"/>
          </w:tcPr>
          <w:p>
            <w:r>
              <w:rPr>
                <w:rFonts w:ascii="Calibri" w:hAnsi="Calibri"/>
                <w:b w:val="0"/>
                <w:color w:val="1A1A1A"/>
                <w:sz w:val="17"/>
              </w:rPr>
              <w:t>Mammalia</w:t>
            </w:r>
          </w:p>
        </w:tc>
      </w:tr>
      <w:tr>
        <w:tc>
          <w:tcPr>
            <w:tcW w:type="dxa" w:w="2835"/>
            <w:shd w:val="clear" w:color="auto" w:fill="EAF7EE"/>
          </w:tcPr>
          <w:p>
            <w:r>
              <w:rPr>
                <w:rFonts w:ascii="Calibri" w:hAnsi="Calibri"/>
                <w:b w:val="0"/>
                <w:color w:val="1A1A1A"/>
                <w:sz w:val="17"/>
              </w:rPr>
              <w:t>Order</w:t>
            </w:r>
          </w:p>
        </w:tc>
        <w:tc>
          <w:tcPr>
            <w:tcW w:type="dxa" w:w="5953"/>
            <w:shd w:val="clear" w:color="auto" w:fill="EAF7EE"/>
          </w:tcPr>
          <w:p>
            <w:r>
              <w:rPr>
                <w:rFonts w:ascii="Calibri" w:hAnsi="Calibri"/>
                <w:b w:val="0"/>
                <w:color w:val="1A1A1A"/>
                <w:sz w:val="17"/>
              </w:rPr>
              <w:t>Proboscidea</w:t>
            </w:r>
          </w:p>
        </w:tc>
      </w:tr>
      <w:tr>
        <w:tc>
          <w:tcPr>
            <w:tcW w:type="dxa" w:w="2835"/>
            <w:shd w:val="clear" w:color="auto" w:fill="FFFFFF"/>
          </w:tcPr>
          <w:p>
            <w:r>
              <w:rPr>
                <w:rFonts w:ascii="Calibri" w:hAnsi="Calibri"/>
                <w:b w:val="0"/>
                <w:color w:val="1A1A1A"/>
                <w:sz w:val="17"/>
              </w:rPr>
              <w:t>Family</w:t>
            </w:r>
          </w:p>
        </w:tc>
        <w:tc>
          <w:tcPr>
            <w:tcW w:type="dxa" w:w="5953"/>
            <w:shd w:val="clear" w:color="auto" w:fill="FFFFFF"/>
          </w:tcPr>
          <w:p>
            <w:r>
              <w:rPr>
                <w:rFonts w:ascii="Calibri" w:hAnsi="Calibri"/>
                <w:b w:val="0"/>
                <w:color w:val="1A1A1A"/>
                <w:sz w:val="17"/>
              </w:rPr>
              <w:t>Elephantidae</w:t>
            </w:r>
          </w:p>
        </w:tc>
      </w:tr>
      <w:tr>
        <w:tc>
          <w:tcPr>
            <w:tcW w:type="dxa" w:w="2835"/>
            <w:shd w:val="clear" w:color="auto" w:fill="EAF7EE"/>
          </w:tcPr>
          <w:p>
            <w:r>
              <w:rPr>
                <w:rFonts w:ascii="Calibri" w:hAnsi="Calibri"/>
                <w:b w:val="0"/>
                <w:color w:val="1A1A1A"/>
                <w:sz w:val="17"/>
              </w:rPr>
              <w:t>Genus (African)</w:t>
            </w:r>
          </w:p>
        </w:tc>
        <w:tc>
          <w:tcPr>
            <w:tcW w:type="dxa" w:w="5953"/>
            <w:shd w:val="clear" w:color="auto" w:fill="EAF7EE"/>
          </w:tcPr>
          <w:p>
            <w:r>
              <w:rPr>
                <w:rFonts w:ascii="Calibri" w:hAnsi="Calibri"/>
                <w:b w:val="0"/>
                <w:color w:val="1A1A1A"/>
                <w:sz w:val="17"/>
              </w:rPr>
              <w:t>Loxodonta</w:t>
            </w:r>
          </w:p>
        </w:tc>
      </w:tr>
      <w:tr>
        <w:tc>
          <w:tcPr>
            <w:tcW w:type="dxa" w:w="2835"/>
            <w:shd w:val="clear" w:color="auto" w:fill="FFFFFF"/>
          </w:tcPr>
          <w:p>
            <w:r>
              <w:rPr>
                <w:rFonts w:ascii="Calibri" w:hAnsi="Calibri"/>
                <w:b w:val="0"/>
                <w:color w:val="1A1A1A"/>
                <w:sz w:val="17"/>
              </w:rPr>
              <w:t>Genus (Asian)</w:t>
            </w:r>
          </w:p>
        </w:tc>
        <w:tc>
          <w:tcPr>
            <w:tcW w:type="dxa" w:w="5953"/>
            <w:shd w:val="clear" w:color="auto" w:fill="FFFFFF"/>
          </w:tcPr>
          <w:p>
            <w:r>
              <w:rPr>
                <w:rFonts w:ascii="Calibri" w:hAnsi="Calibri"/>
                <w:b w:val="0"/>
                <w:color w:val="1A1A1A"/>
                <w:sz w:val="17"/>
              </w:rPr>
              <w:t>Elephas</w:t>
            </w:r>
          </w:p>
        </w:tc>
      </w:tr>
      <w:tr>
        <w:tc>
          <w:tcPr>
            <w:tcW w:type="dxa" w:w="2835"/>
            <w:shd w:val="clear" w:color="auto" w:fill="EAF7EE"/>
          </w:tcPr>
          <w:p>
            <w:r>
              <w:rPr>
                <w:rFonts w:ascii="Calibri" w:hAnsi="Calibri"/>
                <w:b w:val="0"/>
                <w:color w:val="1A1A1A"/>
                <w:sz w:val="17"/>
              </w:rPr>
              <w:t>Species (Asian)</w:t>
            </w:r>
          </w:p>
        </w:tc>
        <w:tc>
          <w:tcPr>
            <w:tcW w:type="dxa" w:w="5953"/>
            <w:shd w:val="clear" w:color="auto" w:fill="EAF7EE"/>
          </w:tcPr>
          <w:p>
            <w:r>
              <w:rPr>
                <w:rFonts w:ascii="Calibri" w:hAnsi="Calibri"/>
                <w:b w:val="0"/>
                <w:color w:val="1A1A1A"/>
                <w:sz w:val="17"/>
              </w:rPr>
              <w:t>Elephas maximus Linnaeus, 1758</w:t>
            </w:r>
          </w:p>
        </w:tc>
      </w:tr>
    </w:tbl>
    <w:p>
      <w:pPr>
        <w:spacing w:after="40"/>
      </w:pPr>
    </w:p>
    <w:p>
      <w:pPr>
        <w:pStyle w:val="Heading2"/>
        <w:spacing w:before="80" w:after="40"/>
      </w:pPr>
      <w:r>
        <w:t>1.2  Three Living Species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  Three Living Species</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Species</w:t>
            </w:r>
          </w:p>
        </w:tc>
        <w:tc>
          <w:tcPr>
            <w:tcW w:type="dxa" w:w="2551"/>
            <w:shd w:val="clear" w:color="auto" w:fill="2D6A4F"/>
          </w:tcPr>
          <w:p>
            <w:pPr>
              <w:jc w:val="center"/>
            </w:pPr>
            <w:r>
              <w:rPr>
                <w:rFonts w:ascii="Calibri" w:hAnsi="Calibri"/>
                <w:b/>
                <w:color w:val="FFFFFF"/>
                <w:sz w:val="17"/>
              </w:rPr>
              <w:t>Scientific Name</w:t>
            </w:r>
          </w:p>
        </w:tc>
        <w:tc>
          <w:tcPr>
            <w:tcW w:type="dxa" w:w="2268"/>
            <w:shd w:val="clear" w:color="auto" w:fill="2D6A4F"/>
          </w:tcPr>
          <w:p>
            <w:pPr>
              <w:jc w:val="center"/>
            </w:pPr>
            <w:r>
              <w:rPr>
                <w:rFonts w:ascii="Calibri" w:hAnsi="Calibri"/>
                <w:b/>
                <w:color w:val="FFFFFF"/>
                <w:sz w:val="17"/>
              </w:rPr>
              <w:t>Range</w:t>
            </w:r>
          </w:p>
        </w:tc>
        <w:tc>
          <w:tcPr>
            <w:tcW w:type="dxa" w:w="2835"/>
            <w:shd w:val="clear" w:color="auto" w:fill="2D6A4F"/>
          </w:tcPr>
          <w:p>
            <w:pPr>
              <w:jc w:val="center"/>
            </w:pPr>
            <w:r>
              <w:rPr>
                <w:rFonts w:ascii="Calibri" w:hAnsi="Calibri"/>
                <w:b/>
                <w:color w:val="FFFFFF"/>
                <w:sz w:val="17"/>
              </w:rPr>
              <w:t>Key Feature</w:t>
            </w:r>
          </w:p>
        </w:tc>
      </w:tr>
      <w:tr>
        <w:tc>
          <w:tcPr>
            <w:tcW w:type="dxa" w:w="2268"/>
            <w:shd w:val="clear" w:color="auto" w:fill="FFFFFF"/>
          </w:tcPr>
          <w:p>
            <w:r>
              <w:rPr>
                <w:rFonts w:ascii="Calibri" w:hAnsi="Calibri"/>
                <w:b w:val="0"/>
                <w:color w:val="1A1A1A"/>
                <w:sz w:val="17"/>
              </w:rPr>
              <w:t>Savanna / Bush Elephant</w:t>
            </w:r>
          </w:p>
        </w:tc>
        <w:tc>
          <w:tcPr>
            <w:tcW w:type="dxa" w:w="2551"/>
            <w:shd w:val="clear" w:color="auto" w:fill="FFFFFF"/>
          </w:tcPr>
          <w:p>
            <w:r>
              <w:rPr>
                <w:rFonts w:ascii="Calibri" w:hAnsi="Calibri"/>
                <w:b w:val="0"/>
                <w:color w:val="1A1A1A"/>
                <w:sz w:val="17"/>
              </w:rPr>
              <w:t>Loxodonta africana</w:t>
            </w:r>
          </w:p>
        </w:tc>
        <w:tc>
          <w:tcPr>
            <w:tcW w:type="dxa" w:w="2268"/>
            <w:shd w:val="clear" w:color="auto" w:fill="FFFFFF"/>
          </w:tcPr>
          <w:p>
            <w:r>
              <w:rPr>
                <w:rFonts w:ascii="Calibri" w:hAnsi="Calibri"/>
                <w:b w:val="0"/>
                <w:color w:val="1A1A1A"/>
                <w:sz w:val="17"/>
              </w:rPr>
              <w:t>Sub-Saharan Africa (savanna)</w:t>
            </w:r>
          </w:p>
        </w:tc>
        <w:tc>
          <w:tcPr>
            <w:tcW w:type="dxa" w:w="2835"/>
            <w:shd w:val="clear" w:color="auto" w:fill="FFFFFF"/>
          </w:tcPr>
          <w:p>
            <w:r>
              <w:rPr>
                <w:rFonts w:ascii="Calibri" w:hAnsi="Calibri"/>
                <w:b w:val="0"/>
                <w:color w:val="1A1A1A"/>
                <w:sz w:val="17"/>
              </w:rPr>
              <w:t>Largest; two finger-like trunk tips; 4 hooves on hindfoot</w:t>
            </w:r>
          </w:p>
        </w:tc>
      </w:tr>
      <w:tr>
        <w:tc>
          <w:tcPr>
            <w:tcW w:type="dxa" w:w="2268"/>
            <w:shd w:val="clear" w:color="auto" w:fill="EAF7EE"/>
          </w:tcPr>
          <w:p>
            <w:r>
              <w:rPr>
                <w:rFonts w:ascii="Calibri" w:hAnsi="Calibri"/>
                <w:b w:val="0"/>
                <w:color w:val="1A1A1A"/>
                <w:sz w:val="17"/>
              </w:rPr>
              <w:t>African Forest Elephant</w:t>
            </w:r>
          </w:p>
        </w:tc>
        <w:tc>
          <w:tcPr>
            <w:tcW w:type="dxa" w:w="2551"/>
            <w:shd w:val="clear" w:color="auto" w:fill="EAF7EE"/>
          </w:tcPr>
          <w:p>
            <w:r>
              <w:rPr>
                <w:rFonts w:ascii="Calibri" w:hAnsi="Calibri"/>
                <w:b w:val="0"/>
                <w:color w:val="1A1A1A"/>
                <w:sz w:val="17"/>
              </w:rPr>
              <w:t>Loxodonta cyclotis</w:t>
            </w:r>
          </w:p>
        </w:tc>
        <w:tc>
          <w:tcPr>
            <w:tcW w:type="dxa" w:w="2268"/>
            <w:shd w:val="clear" w:color="auto" w:fill="EAF7EE"/>
          </w:tcPr>
          <w:p>
            <w:r>
              <w:rPr>
                <w:rFonts w:ascii="Calibri" w:hAnsi="Calibri"/>
                <w:b w:val="0"/>
                <w:color w:val="1A1A1A"/>
                <w:sz w:val="17"/>
              </w:rPr>
              <w:t>Central African rainforests</w:t>
            </w:r>
          </w:p>
        </w:tc>
        <w:tc>
          <w:tcPr>
            <w:tcW w:type="dxa" w:w="2835"/>
            <w:shd w:val="clear" w:color="auto" w:fill="EAF7EE"/>
          </w:tcPr>
          <w:p>
            <w:r>
              <w:rPr>
                <w:rFonts w:ascii="Calibri" w:hAnsi="Calibri"/>
                <w:b w:val="0"/>
                <w:color w:val="1A1A1A"/>
                <w:sz w:val="17"/>
              </w:rPr>
              <w:t>Smaller; rounder ears; darker skin; straighter tusks</w:t>
            </w:r>
          </w:p>
        </w:tc>
      </w:tr>
      <w:tr>
        <w:tc>
          <w:tcPr>
            <w:tcW w:type="dxa" w:w="2268"/>
            <w:shd w:val="clear" w:color="auto" w:fill="FFFFFF"/>
          </w:tcPr>
          <w:p>
            <w:r>
              <w:rPr>
                <w:rFonts w:ascii="Calibri" w:hAnsi="Calibri"/>
                <w:b w:val="0"/>
                <w:color w:val="1A1A1A"/>
                <w:sz w:val="17"/>
              </w:rPr>
              <w:t>Asian Elephant</w:t>
            </w:r>
          </w:p>
        </w:tc>
        <w:tc>
          <w:tcPr>
            <w:tcW w:type="dxa" w:w="2551"/>
            <w:shd w:val="clear" w:color="auto" w:fill="FFFFFF"/>
          </w:tcPr>
          <w:p>
            <w:r>
              <w:rPr>
                <w:rFonts w:ascii="Calibri" w:hAnsi="Calibri"/>
                <w:b w:val="0"/>
                <w:color w:val="1A1A1A"/>
                <w:sz w:val="17"/>
              </w:rPr>
              <w:t>Elephas maximus</w:t>
            </w:r>
          </w:p>
        </w:tc>
        <w:tc>
          <w:tcPr>
            <w:tcW w:type="dxa" w:w="2268"/>
            <w:shd w:val="clear" w:color="auto" w:fill="FFFFFF"/>
          </w:tcPr>
          <w:p>
            <w:r>
              <w:rPr>
                <w:rFonts w:ascii="Calibri" w:hAnsi="Calibri"/>
                <w:b w:val="0"/>
                <w:color w:val="1A1A1A"/>
                <w:sz w:val="17"/>
              </w:rPr>
              <w:t>South &amp; South-East Asia</w:t>
            </w:r>
          </w:p>
        </w:tc>
        <w:tc>
          <w:tcPr>
            <w:tcW w:type="dxa" w:w="2835"/>
            <w:shd w:val="clear" w:color="auto" w:fill="FFFFFF"/>
          </w:tcPr>
          <w:p>
            <w:r>
              <w:rPr>
                <w:rFonts w:ascii="Calibri" w:hAnsi="Calibri"/>
                <w:b w:val="0"/>
                <w:color w:val="1A1A1A"/>
                <w:sz w:val="17"/>
              </w:rPr>
              <w:t>One finger-like trunk tip; 5 hooves on hindfoot; domed head</w:t>
            </w:r>
          </w:p>
        </w:tc>
      </w:tr>
    </w:tbl>
    <w:p>
      <w:pPr>
        <w:spacing w:after="40"/>
      </w:pPr>
    </w:p>
    <w:p>
      <w:pPr>
        <w:spacing w:after="80"/>
        <w:jc w:val="left"/>
      </w:pPr>
      <w:r>
        <w:rPr>
          <w:rFonts w:ascii="Calibri" w:hAnsi="Calibri"/>
          <w:b w:val="0"/>
          <w:i w:val="0"/>
          <w:color w:val="1A1A1A"/>
          <w:sz w:val="19"/>
        </w:rPr>
        <w:t>Key distinguishing features of Asian vs African elephants: Asian elephants have a single finger-like projection at the trunk tip (African have two), a more domed head with a central indentation, smaller rounded ears, and five hooves on the hindfoot (vs three in African). The skin of Asian elephants may show pink depigmentation on the trunk, ears, or neck.</w:t>
      </w:r>
    </w:p>
    <w:p>
      <w:pPr>
        <w:pStyle w:val="Heading2"/>
        <w:spacing w:before="80" w:after="40"/>
      </w:pPr>
      <w:r>
        <w:t>1.3  Asian Elephant Subspecies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  Asian Elephant Subspecies</w:t>
            </w:r>
          </w:p>
        </w:tc>
      </w:tr>
    </w:tbl>
    <w:p>
      <w:pPr>
        <w:spacing w:after="40"/>
      </w:pPr>
    </w:p>
    <w:p>
      <w:pPr>
        <w:spacing w:after="80"/>
        <w:jc w:val="left"/>
      </w:pPr>
      <w:r>
        <w:rPr>
          <w:rFonts w:ascii="Calibri" w:hAnsi="Calibri"/>
          <w:b w:val="0"/>
          <w:i w:val="0"/>
          <w:color w:val="1A1A1A"/>
          <w:sz w:val="19"/>
        </w:rPr>
        <w:t>The IUCN (2020) recognizes four subspecies of Elephas maximus, though taxonomy remains debated:</w:t>
      </w:r>
    </w:p>
    <w:tbl>
      <w:tblPr>
        <w:tblStyle w:val="TableGrid"/>
        <w:tblW w:type="auto" w:w="0"/>
        <w:tblLook w:firstColumn="1" w:firstRow="1" w:lastColumn="0" w:lastRow="0" w:noHBand="0" w:noVBand="1" w:val="04A0"/>
      </w:tblPr>
      <w:tblGrid>
        <w:gridCol w:w="2409"/>
        <w:gridCol w:w="2409"/>
        <w:gridCol w:w="2409"/>
        <w:gridCol w:w="2409"/>
      </w:tblGrid>
      <w:tr>
        <w:tc>
          <w:tcPr>
            <w:tcW w:type="dxa" w:w="1984"/>
            <w:shd w:val="clear" w:color="auto" w:fill="2D6A4F"/>
          </w:tcPr>
          <w:p>
            <w:pPr>
              <w:jc w:val="center"/>
            </w:pPr>
            <w:r>
              <w:rPr>
                <w:rFonts w:ascii="Calibri" w:hAnsi="Calibri"/>
                <w:b/>
                <w:color w:val="FFFFFF"/>
                <w:sz w:val="17"/>
              </w:rPr>
              <w:t>Subspecies</w:t>
            </w:r>
          </w:p>
        </w:tc>
        <w:tc>
          <w:tcPr>
            <w:tcW w:type="dxa" w:w="2268"/>
            <w:shd w:val="clear" w:color="auto" w:fill="2D6A4F"/>
          </w:tcPr>
          <w:p>
            <w:pPr>
              <w:jc w:val="center"/>
            </w:pPr>
            <w:r>
              <w:rPr>
                <w:rFonts w:ascii="Calibri" w:hAnsi="Calibri"/>
                <w:b/>
                <w:color w:val="FFFFFF"/>
                <w:sz w:val="17"/>
              </w:rPr>
              <w:t>Scientific Name</w:t>
            </w:r>
          </w:p>
        </w:tc>
        <w:tc>
          <w:tcPr>
            <w:tcW w:type="dxa" w:w="3118"/>
            <w:shd w:val="clear" w:color="auto" w:fill="2D6A4F"/>
          </w:tcPr>
          <w:p>
            <w:pPr>
              <w:jc w:val="center"/>
            </w:pPr>
            <w:r>
              <w:rPr>
                <w:rFonts w:ascii="Calibri" w:hAnsi="Calibri"/>
                <w:b/>
                <w:color w:val="FFFFFF"/>
                <w:sz w:val="17"/>
              </w:rPr>
              <w:t>Range</w:t>
            </w:r>
          </w:p>
        </w:tc>
        <w:tc>
          <w:tcPr>
            <w:tcW w:type="dxa" w:w="1701"/>
            <w:shd w:val="clear" w:color="auto" w:fill="2D6A4F"/>
          </w:tcPr>
          <w:p>
            <w:pPr>
              <w:jc w:val="center"/>
            </w:pPr>
            <w:r>
              <w:rPr>
                <w:rFonts w:ascii="Calibri" w:hAnsi="Calibri"/>
                <w:b/>
                <w:color w:val="FFFFFF"/>
                <w:sz w:val="17"/>
              </w:rPr>
              <w:t>Status</w:t>
            </w:r>
          </w:p>
        </w:tc>
      </w:tr>
      <w:tr>
        <w:tc>
          <w:tcPr>
            <w:tcW w:type="dxa" w:w="1984"/>
            <w:shd w:val="clear" w:color="auto" w:fill="FFFFFF"/>
          </w:tcPr>
          <w:p>
            <w:r>
              <w:rPr>
                <w:rFonts w:ascii="Calibri" w:hAnsi="Calibri"/>
                <w:b w:val="0"/>
                <w:color w:val="1A1A1A"/>
                <w:sz w:val="17"/>
              </w:rPr>
              <w:t>Indian (Mainland)</w:t>
            </w:r>
          </w:p>
        </w:tc>
        <w:tc>
          <w:tcPr>
            <w:tcW w:type="dxa" w:w="2268"/>
            <w:shd w:val="clear" w:color="auto" w:fill="FFFFFF"/>
          </w:tcPr>
          <w:p>
            <w:r>
              <w:rPr>
                <w:rFonts w:ascii="Calibri" w:hAnsi="Calibri"/>
                <w:b w:val="0"/>
                <w:color w:val="1A1A1A"/>
                <w:sz w:val="17"/>
              </w:rPr>
              <w:t>E. m. indicus</w:t>
            </w:r>
          </w:p>
        </w:tc>
        <w:tc>
          <w:tcPr>
            <w:tcW w:type="dxa" w:w="3118"/>
            <w:shd w:val="clear" w:color="auto" w:fill="FFFFFF"/>
          </w:tcPr>
          <w:p>
            <w:r>
              <w:rPr>
                <w:rFonts w:ascii="Calibri" w:hAnsi="Calibri"/>
                <w:b w:val="0"/>
                <w:color w:val="1A1A1A"/>
                <w:sz w:val="17"/>
              </w:rPr>
              <w:t>India, Nepal, Bhutan, Bangladesh, Myanmar, Thailand, Laos, Vietnam, Cambodia, Malaysia</w:t>
            </w:r>
          </w:p>
        </w:tc>
        <w:tc>
          <w:tcPr>
            <w:tcW w:type="dxa" w:w="1701"/>
            <w:shd w:val="clear" w:color="auto" w:fill="FFFFFF"/>
          </w:tcPr>
          <w:p>
            <w:r>
              <w:rPr>
                <w:rFonts w:ascii="Calibri" w:hAnsi="Calibri"/>
                <w:b w:val="0"/>
                <w:color w:val="1A1A1A"/>
                <w:sz w:val="17"/>
              </w:rPr>
              <w:t>Endangered</w:t>
            </w:r>
          </w:p>
        </w:tc>
      </w:tr>
      <w:tr>
        <w:tc>
          <w:tcPr>
            <w:tcW w:type="dxa" w:w="1984"/>
            <w:shd w:val="clear" w:color="auto" w:fill="EAF7EE"/>
          </w:tcPr>
          <w:p>
            <w:r>
              <w:rPr>
                <w:rFonts w:ascii="Calibri" w:hAnsi="Calibri"/>
                <w:b w:val="0"/>
                <w:color w:val="1A1A1A"/>
                <w:sz w:val="17"/>
              </w:rPr>
              <w:t>Sri Lankan</w:t>
            </w:r>
          </w:p>
        </w:tc>
        <w:tc>
          <w:tcPr>
            <w:tcW w:type="dxa" w:w="2268"/>
            <w:shd w:val="clear" w:color="auto" w:fill="EAF7EE"/>
          </w:tcPr>
          <w:p>
            <w:r>
              <w:rPr>
                <w:rFonts w:ascii="Calibri" w:hAnsi="Calibri"/>
                <w:b w:val="0"/>
                <w:color w:val="1A1A1A"/>
                <w:sz w:val="17"/>
              </w:rPr>
              <w:t>E. m. maximus</w:t>
            </w:r>
          </w:p>
        </w:tc>
        <w:tc>
          <w:tcPr>
            <w:tcW w:type="dxa" w:w="3118"/>
            <w:shd w:val="clear" w:color="auto" w:fill="EAF7EE"/>
          </w:tcPr>
          <w:p>
            <w:r>
              <w:rPr>
                <w:rFonts w:ascii="Calibri" w:hAnsi="Calibri"/>
                <w:b w:val="0"/>
                <w:color w:val="1A1A1A"/>
                <w:sz w:val="17"/>
              </w:rPr>
              <w:t>Sri Lanka</w:t>
            </w:r>
          </w:p>
        </w:tc>
        <w:tc>
          <w:tcPr>
            <w:tcW w:type="dxa" w:w="1701"/>
            <w:shd w:val="clear" w:color="auto" w:fill="EAF7EE"/>
          </w:tcPr>
          <w:p>
            <w:r>
              <w:rPr>
                <w:rFonts w:ascii="Calibri" w:hAnsi="Calibri"/>
                <w:b w:val="0"/>
                <w:color w:val="1A1A1A"/>
                <w:sz w:val="17"/>
              </w:rPr>
              <w:t>Endangered — largest body size</w:t>
            </w:r>
          </w:p>
        </w:tc>
      </w:tr>
      <w:tr>
        <w:tc>
          <w:tcPr>
            <w:tcW w:type="dxa" w:w="1984"/>
            <w:shd w:val="clear" w:color="auto" w:fill="FFFFFF"/>
          </w:tcPr>
          <w:p>
            <w:r>
              <w:rPr>
                <w:rFonts w:ascii="Calibri" w:hAnsi="Calibri"/>
                <w:b w:val="0"/>
                <w:color w:val="1A1A1A"/>
                <w:sz w:val="17"/>
              </w:rPr>
              <w:t>Sumatran</w:t>
            </w:r>
          </w:p>
        </w:tc>
        <w:tc>
          <w:tcPr>
            <w:tcW w:type="dxa" w:w="2268"/>
            <w:shd w:val="clear" w:color="auto" w:fill="FFFFFF"/>
          </w:tcPr>
          <w:p>
            <w:r>
              <w:rPr>
                <w:rFonts w:ascii="Calibri" w:hAnsi="Calibri"/>
                <w:b w:val="0"/>
                <w:color w:val="1A1A1A"/>
                <w:sz w:val="17"/>
              </w:rPr>
              <w:t>E. m. sumatranus</w:t>
            </w:r>
          </w:p>
        </w:tc>
        <w:tc>
          <w:tcPr>
            <w:tcW w:type="dxa" w:w="3118"/>
            <w:shd w:val="clear" w:color="auto" w:fill="FFFFFF"/>
          </w:tcPr>
          <w:p>
            <w:r>
              <w:rPr>
                <w:rFonts w:ascii="Calibri" w:hAnsi="Calibri"/>
                <w:b w:val="0"/>
                <w:color w:val="1A1A1A"/>
                <w:sz w:val="17"/>
              </w:rPr>
              <w:t>Sumatra (Indonesia)</w:t>
            </w:r>
          </w:p>
        </w:tc>
        <w:tc>
          <w:tcPr>
            <w:tcW w:type="dxa" w:w="1701"/>
            <w:shd w:val="clear" w:color="auto" w:fill="FFFFFF"/>
          </w:tcPr>
          <w:p>
            <w:r>
              <w:rPr>
                <w:rFonts w:ascii="Calibri" w:hAnsi="Calibri"/>
                <w:b w:val="0"/>
                <w:color w:val="1A1A1A"/>
                <w:sz w:val="17"/>
              </w:rPr>
              <w:t>Critically Endangered — smallest body size</w:t>
            </w:r>
          </w:p>
        </w:tc>
      </w:tr>
      <w:tr>
        <w:tc>
          <w:tcPr>
            <w:tcW w:type="dxa" w:w="1984"/>
            <w:shd w:val="clear" w:color="auto" w:fill="EAF7EE"/>
          </w:tcPr>
          <w:p>
            <w:r>
              <w:rPr>
                <w:rFonts w:ascii="Calibri" w:hAnsi="Calibri"/>
                <w:b w:val="0"/>
                <w:color w:val="1A1A1A"/>
                <w:sz w:val="17"/>
              </w:rPr>
              <w:t>Bornean (Pygmy)</w:t>
            </w:r>
          </w:p>
        </w:tc>
        <w:tc>
          <w:tcPr>
            <w:tcW w:type="dxa" w:w="2268"/>
            <w:shd w:val="clear" w:color="auto" w:fill="EAF7EE"/>
          </w:tcPr>
          <w:p>
            <w:r>
              <w:rPr>
                <w:rFonts w:ascii="Calibri" w:hAnsi="Calibri"/>
                <w:b w:val="0"/>
                <w:color w:val="1A1A1A"/>
                <w:sz w:val="17"/>
              </w:rPr>
              <w:t>E. m. borneensis</w:t>
            </w:r>
          </w:p>
        </w:tc>
        <w:tc>
          <w:tcPr>
            <w:tcW w:type="dxa" w:w="3118"/>
            <w:shd w:val="clear" w:color="auto" w:fill="EAF7EE"/>
          </w:tcPr>
          <w:p>
            <w:r>
              <w:rPr>
                <w:rFonts w:ascii="Calibri" w:hAnsi="Calibri"/>
                <w:b w:val="0"/>
                <w:color w:val="1A1A1A"/>
                <w:sz w:val="17"/>
              </w:rPr>
              <w:t>Borneo (Malaysia/Indonesia)</w:t>
            </w:r>
          </w:p>
        </w:tc>
        <w:tc>
          <w:tcPr>
            <w:tcW w:type="dxa" w:w="1701"/>
            <w:shd w:val="clear" w:color="auto" w:fill="EAF7EE"/>
          </w:tcPr>
          <w:p>
            <w:r>
              <w:rPr>
                <w:rFonts w:ascii="Calibri" w:hAnsi="Calibri"/>
                <w:b w:val="0"/>
                <w:color w:val="1A1A1A"/>
                <w:sz w:val="17"/>
              </w:rPr>
              <w:t>Endangered — genetically distinct</w:t>
            </w:r>
          </w:p>
        </w:tc>
      </w:tr>
    </w:tbl>
    <w:p>
      <w:pPr>
        <w:spacing w:after="40"/>
      </w:pPr>
    </w:p>
    <w:p>
      <w:pPr>
        <w:spacing w:after="40"/>
        <w:ind w:left="283" w:hanging="170"/>
      </w:pPr>
      <w:r>
        <w:rPr>
          <w:rFonts w:ascii="Calibri" w:hAnsi="Calibri"/>
          <w:color w:val="1A1A1A"/>
          <w:sz w:val="19"/>
        </w:rPr>
        <w:t>•  The PPT lists five strains (Indian, Burmese, Ceylonese, Sumatran, Malaysian) — these correspond to geographic populations; modern genetics recognizes four IUCN subspecies.</w:t>
      </w:r>
    </w:p>
    <w:p>
      <w:pPr>
        <w:spacing w:after="40"/>
        <w:ind w:left="283" w:hanging="170"/>
      </w:pPr>
      <w:r>
        <w:rPr>
          <w:rFonts w:ascii="Calibri" w:hAnsi="Calibri"/>
          <w:color w:val="1A1A1A"/>
          <w:sz w:val="19"/>
        </w:rPr>
        <w:t>•  Phylogeographic studies indicate that Sri Lankan and mainland Indian populations are not always distinct enough for separate subspecific status (IUCN Red List Assessment 2020).</w:t>
      </w:r>
    </w:p>
    <w:p>
      <w:pPr>
        <w:pStyle w:val="Heading2"/>
        <w:spacing w:before="80" w:after="40"/>
      </w:pPr>
      <w:r>
        <w:t>1.4  Body Size — Asian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  Body Size — Asian Elephant</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551"/>
            <w:shd w:val="clear" w:color="auto" w:fill="2D6A4F"/>
          </w:tcPr>
          <w:p>
            <w:pPr>
              <w:jc w:val="center"/>
            </w:pPr>
            <w:r>
              <w:rPr>
                <w:rFonts w:ascii="Calibri" w:hAnsi="Calibri"/>
                <w:b/>
                <w:color w:val="FFFFFF"/>
                <w:sz w:val="17"/>
              </w:rPr>
              <w:t>Parameter</w:t>
            </w:r>
          </w:p>
        </w:tc>
        <w:tc>
          <w:tcPr>
            <w:tcW w:type="dxa" w:w="2268"/>
            <w:shd w:val="clear" w:color="auto" w:fill="2D6A4F"/>
          </w:tcPr>
          <w:p>
            <w:pPr>
              <w:jc w:val="center"/>
            </w:pPr>
            <w:r>
              <w:rPr>
                <w:rFonts w:ascii="Calibri" w:hAnsi="Calibri"/>
                <w:b/>
                <w:color w:val="FFFFFF"/>
                <w:sz w:val="17"/>
              </w:rPr>
              <w:t>Bull (Male)</w:t>
            </w:r>
          </w:p>
        </w:tc>
        <w:tc>
          <w:tcPr>
            <w:tcW w:type="dxa" w:w="2268"/>
            <w:shd w:val="clear" w:color="auto" w:fill="2D6A4F"/>
          </w:tcPr>
          <w:p>
            <w:pPr>
              <w:jc w:val="center"/>
            </w:pPr>
            <w:r>
              <w:rPr>
                <w:rFonts w:ascii="Calibri" w:hAnsi="Calibri"/>
                <w:b/>
                <w:color w:val="FFFFFF"/>
                <w:sz w:val="17"/>
              </w:rPr>
              <w:t>Cow (Female)</w:t>
            </w:r>
          </w:p>
        </w:tc>
        <w:tc>
          <w:tcPr>
            <w:tcW w:type="dxa" w:w="2268"/>
            <w:shd w:val="clear" w:color="auto" w:fill="2D6A4F"/>
          </w:tcPr>
          <w:p>
            <w:pPr>
              <w:jc w:val="center"/>
            </w:pPr>
            <w:r>
              <w:rPr>
                <w:rFonts w:ascii="Calibri" w:hAnsi="Calibri"/>
                <w:b/>
                <w:color w:val="FFFFFF"/>
                <w:sz w:val="17"/>
              </w:rPr>
              <w:t>Calf at Birth</w:t>
            </w:r>
          </w:p>
        </w:tc>
      </w:tr>
      <w:tr>
        <w:tc>
          <w:tcPr>
            <w:tcW w:type="dxa" w:w="2551"/>
            <w:shd w:val="clear" w:color="auto" w:fill="FFFFFF"/>
          </w:tcPr>
          <w:p>
            <w:r>
              <w:rPr>
                <w:rFonts w:ascii="Calibri" w:hAnsi="Calibri"/>
                <w:b w:val="0"/>
                <w:color w:val="1A1A1A"/>
                <w:sz w:val="17"/>
              </w:rPr>
              <w:t>Shoulder height</w:t>
            </w:r>
          </w:p>
        </w:tc>
        <w:tc>
          <w:tcPr>
            <w:tcW w:type="dxa" w:w="2268"/>
            <w:shd w:val="clear" w:color="auto" w:fill="FFFFFF"/>
          </w:tcPr>
          <w:p>
            <w:r>
              <w:rPr>
                <w:rFonts w:ascii="Calibri" w:hAnsi="Calibri"/>
                <w:b w:val="0"/>
                <w:color w:val="1A1A1A"/>
                <w:sz w:val="17"/>
              </w:rPr>
              <w:t>~9 ft / 2.7–3.2 m</w:t>
            </w:r>
          </w:p>
        </w:tc>
        <w:tc>
          <w:tcPr>
            <w:tcW w:type="dxa" w:w="2268"/>
            <w:shd w:val="clear" w:color="auto" w:fill="FFFFFF"/>
          </w:tcPr>
          <w:p>
            <w:r>
              <w:rPr>
                <w:rFonts w:ascii="Calibri" w:hAnsi="Calibri"/>
                <w:b w:val="0"/>
                <w:color w:val="1A1A1A"/>
                <w:sz w:val="17"/>
              </w:rPr>
              <w:t>~7.5 ft / 2.3–2.5 m</w:t>
            </w:r>
          </w:p>
        </w:tc>
        <w:tc>
          <w:tcPr>
            <w:tcW w:type="dxa" w:w="2268"/>
            <w:shd w:val="clear" w:color="auto" w:fill="FFFFFF"/>
          </w:tcPr>
          <w:p>
            <w:r>
              <w:rPr>
                <w:rFonts w:ascii="Calibri" w:hAnsi="Calibri"/>
                <w:b w:val="0"/>
                <w:color w:val="1A1A1A"/>
                <w:sz w:val="17"/>
              </w:rPr>
              <w:t>90–100 cm</w:t>
            </w:r>
          </w:p>
        </w:tc>
      </w:tr>
      <w:tr>
        <w:tc>
          <w:tcPr>
            <w:tcW w:type="dxa" w:w="2551"/>
            <w:shd w:val="clear" w:color="auto" w:fill="EAF7EE"/>
          </w:tcPr>
          <w:p>
            <w:r>
              <w:rPr>
                <w:rFonts w:ascii="Calibri" w:hAnsi="Calibri"/>
                <w:b w:val="0"/>
                <w:color w:val="1A1A1A"/>
                <w:sz w:val="17"/>
              </w:rPr>
              <w:t>Body weight</w:t>
            </w:r>
          </w:p>
        </w:tc>
        <w:tc>
          <w:tcPr>
            <w:tcW w:type="dxa" w:w="2268"/>
            <w:shd w:val="clear" w:color="auto" w:fill="EAF7EE"/>
          </w:tcPr>
          <w:p>
            <w:r>
              <w:rPr>
                <w:rFonts w:ascii="Calibri" w:hAnsi="Calibri"/>
                <w:b w:val="0"/>
                <w:color w:val="1A1A1A"/>
                <w:sz w:val="17"/>
              </w:rPr>
              <w:t>3–5.4 tonnes</w:t>
            </w:r>
          </w:p>
        </w:tc>
        <w:tc>
          <w:tcPr>
            <w:tcW w:type="dxa" w:w="2268"/>
            <w:shd w:val="clear" w:color="auto" w:fill="EAF7EE"/>
          </w:tcPr>
          <w:p>
            <w:r>
              <w:rPr>
                <w:rFonts w:ascii="Calibri" w:hAnsi="Calibri"/>
                <w:b w:val="0"/>
                <w:color w:val="1A1A1A"/>
                <w:sz w:val="17"/>
              </w:rPr>
              <w:t>2.3–4.2 tonnes</w:t>
            </w:r>
          </w:p>
        </w:tc>
        <w:tc>
          <w:tcPr>
            <w:tcW w:type="dxa" w:w="2268"/>
            <w:shd w:val="clear" w:color="auto" w:fill="EAF7EE"/>
          </w:tcPr>
          <w:p>
            <w:r>
              <w:rPr>
                <w:rFonts w:ascii="Calibri" w:hAnsi="Calibri"/>
                <w:b w:val="0"/>
                <w:color w:val="1A1A1A"/>
                <w:sz w:val="17"/>
              </w:rPr>
              <w:t>80–100 kg</w:t>
            </w:r>
          </w:p>
        </w:tc>
      </w:tr>
      <w:tr>
        <w:tc>
          <w:tcPr>
            <w:tcW w:type="dxa" w:w="2551"/>
            <w:shd w:val="clear" w:color="auto" w:fill="FFFFFF"/>
          </w:tcPr>
          <w:p>
            <w:r>
              <w:rPr>
                <w:rFonts w:ascii="Calibri" w:hAnsi="Calibri"/>
                <w:b w:val="0"/>
                <w:color w:val="1A1A1A"/>
                <w:sz w:val="17"/>
              </w:rPr>
              <w:t>Trunk length</w:t>
            </w:r>
          </w:p>
        </w:tc>
        <w:tc>
          <w:tcPr>
            <w:tcW w:type="dxa" w:w="2268"/>
            <w:shd w:val="clear" w:color="auto" w:fill="FFFFFF"/>
          </w:tcPr>
          <w:p>
            <w:r>
              <w:rPr>
                <w:rFonts w:ascii="Calibri" w:hAnsi="Calibri"/>
                <w:b w:val="0"/>
                <w:color w:val="1A1A1A"/>
                <w:sz w:val="17"/>
              </w:rPr>
              <w:t>~2 m</w:t>
            </w:r>
          </w:p>
        </w:tc>
        <w:tc>
          <w:tcPr>
            <w:tcW w:type="dxa" w:w="2268"/>
            <w:shd w:val="clear" w:color="auto" w:fill="FFFFFF"/>
          </w:tcPr>
          <w:p>
            <w:r>
              <w:rPr>
                <w:rFonts w:ascii="Calibri" w:hAnsi="Calibri"/>
                <w:b w:val="0"/>
                <w:color w:val="1A1A1A"/>
                <w:sz w:val="17"/>
              </w:rPr>
              <w:t>~2 m</w:t>
            </w:r>
          </w:p>
        </w:tc>
        <w:tc>
          <w:tcPr>
            <w:tcW w:type="dxa" w:w="2268"/>
            <w:shd w:val="clear" w:color="auto" w:fill="FFFFFF"/>
          </w:tcPr>
          <w:p>
            <w:r>
              <w:rPr>
                <w:rFonts w:ascii="Calibri" w:hAnsi="Calibri"/>
                <w:b w:val="0"/>
                <w:color w:val="1A1A1A"/>
                <w:sz w:val="17"/>
              </w:rPr>
              <w:t>Short — grows rapidly</w:t>
            </w:r>
          </w:p>
        </w:tc>
      </w:tr>
      <w:tr>
        <w:tc>
          <w:tcPr>
            <w:tcW w:type="dxa" w:w="2551"/>
            <w:shd w:val="clear" w:color="auto" w:fill="EAF7EE"/>
          </w:tcPr>
          <w:p>
            <w:r>
              <w:rPr>
                <w:rFonts w:ascii="Calibri" w:hAnsi="Calibri"/>
                <w:b w:val="0"/>
                <w:color w:val="1A1A1A"/>
                <w:sz w:val="17"/>
              </w:rPr>
              <w:t>Lifespan</w:t>
            </w:r>
          </w:p>
        </w:tc>
        <w:tc>
          <w:tcPr>
            <w:tcW w:type="dxa" w:w="2268"/>
            <w:shd w:val="clear" w:color="auto" w:fill="EAF7EE"/>
          </w:tcPr>
          <w:p>
            <w:r>
              <w:rPr>
                <w:rFonts w:ascii="Calibri" w:hAnsi="Calibri"/>
                <w:b w:val="0"/>
                <w:color w:val="1A1A1A"/>
                <w:sz w:val="17"/>
              </w:rPr>
              <w:t>60–70 years in wild</w:t>
            </w:r>
          </w:p>
        </w:tc>
        <w:tc>
          <w:tcPr>
            <w:tcW w:type="dxa" w:w="2268"/>
            <w:shd w:val="clear" w:color="auto" w:fill="EAF7EE"/>
          </w:tcPr>
          <w:p>
            <w:r>
              <w:rPr>
                <w:rFonts w:ascii="Calibri" w:hAnsi="Calibri"/>
                <w:b w:val="0"/>
                <w:color w:val="1A1A1A"/>
                <w:sz w:val="17"/>
              </w:rPr>
              <w:t>60–70 years in wild</w:t>
            </w:r>
          </w:p>
        </w:tc>
        <w:tc>
          <w:tcPr>
            <w:tcW w:type="dxa" w:w="2268"/>
            <w:shd w:val="clear" w:color="auto" w:fill="EAF7EE"/>
          </w:tcPr>
          <w:p>
            <w:r>
              <w:rPr>
                <w:rFonts w:ascii="Calibri" w:hAnsi="Calibri"/>
                <w:b w:val="0"/>
                <w:color w:val="1A1A1A"/>
                <w:sz w:val="17"/>
              </w:rPr>
              <w:t>—</w:t>
            </w:r>
          </w:p>
        </w:tc>
      </w:tr>
    </w:tbl>
    <w:p>
      <w:pPr>
        <w:spacing w:after="40"/>
      </w:pPr>
    </w:p>
    <w:p>
      <w:pPr>
        <w:pStyle w:val="Heading2"/>
        <w:spacing w:before="80" w:after="40"/>
      </w:pPr>
      <w:r>
        <w:t>1.5  Senses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  Senses</w:t>
            </w:r>
          </w:p>
        </w:tc>
      </w:tr>
    </w:tbl>
    <w:p>
      <w:pPr>
        <w:spacing w:after="40"/>
      </w:pPr>
    </w:p>
    <w:p>
      <w:pPr>
        <w:spacing w:after="40"/>
        <w:ind w:left="283" w:hanging="170"/>
      </w:pPr>
      <w:r>
        <w:rPr>
          <w:rFonts w:ascii="Calibri" w:hAnsi="Calibri"/>
          <w:color w:val="1A1A1A"/>
          <w:sz w:val="19"/>
        </w:rPr>
        <w:t>•  Vision: Poor — eyes positioned laterally, wide visual field but poor depth perception; relies far more on smell and hearing</w:t>
      </w:r>
    </w:p>
    <w:p>
      <w:pPr>
        <w:spacing w:after="40"/>
        <w:ind w:left="283" w:hanging="170"/>
      </w:pPr>
      <w:r>
        <w:rPr>
          <w:rFonts w:ascii="Calibri" w:hAnsi="Calibri"/>
          <w:color w:val="1A1A1A"/>
          <w:sz w:val="19"/>
        </w:rPr>
        <w:t>•  Olfaction: Exceptional — can detect water sources up to 12 km away; ~2,000 olfactory receptor genes (more than any other mammal)</w:t>
      </w:r>
    </w:p>
    <w:p>
      <w:pPr>
        <w:spacing w:after="40"/>
        <w:ind w:left="283" w:hanging="170"/>
      </w:pPr>
      <w:r>
        <w:rPr>
          <w:rFonts w:ascii="Calibri" w:hAnsi="Calibri"/>
          <w:color w:val="1A1A1A"/>
          <w:sz w:val="19"/>
        </w:rPr>
        <w:t>•  Hearing: Can detect infrasound (frequencies &lt;20 Hz, inaudible to humans); used for long-distance communication up to 10 km</w:t>
      </w:r>
    </w:p>
    <w:p>
      <w:pPr>
        <w:spacing w:after="40"/>
        <w:ind w:left="283" w:hanging="170"/>
      </w:pPr>
      <w:r>
        <w:rPr>
          <w:rFonts w:ascii="Calibri" w:hAnsi="Calibri"/>
          <w:color w:val="1A1A1A"/>
          <w:sz w:val="19"/>
        </w:rPr>
        <w:t>•  Touch: Highly sensitive skin, especially at trunk tip and around lips; vibrissae (sensory hairs) on trunk and face</w:t>
      </w:r>
    </w:p>
    <w:p>
      <w:pPr>
        <w:spacing w:after="40"/>
        <w:ind w:left="283" w:hanging="170"/>
      </w:pPr>
      <w:r>
        <w:rPr>
          <w:rFonts w:ascii="Calibri" w:hAnsi="Calibri"/>
          <w:color w:val="1A1A1A"/>
          <w:sz w:val="19"/>
        </w:rPr>
        <w:t>•  Seismic sense: May detect seismic waves from other elephants through ground vibration sensed via feet and transmitted through skeleton</w:t>
      </w:r>
    </w:p>
    <w:p/>
    <w:p>
      <w:pPr>
        <w:spacing w:before="0" w:after="0"/>
      </w:pPr>
      <w:r>
        <w:br w:type="page"/>
      </w:r>
    </w:p>
    <w:p>
      <w:pPr>
        <w:pStyle w:val="Heading1"/>
        <w:spacing w:before="160" w:after="40"/>
      </w:pPr>
      <w:r>
        <w:t>2.  The Trunk (Proboscis)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2.  The Trunk (Proboscis)</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5" name="Picture 5"/>
            <wp:cNvGraphicFramePr>
              <a:graphicFrameLocks noChangeAspect="1"/>
            </wp:cNvGraphicFramePr>
            <a:graphic>
              <a:graphicData uri="http://schemas.openxmlformats.org/drawingml/2006/picture">
                <pic:pic>
                  <pic:nvPicPr>
                    <pic:cNvPr id="0" name="slide_05.png"/>
                    <pic:cNvPicPr/>
                  </pic:nvPicPr>
                  <pic:blipFill>
                    <a:blip r:embed="rId13"/>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5 — The trunk: close-up of structure and fine-motor capability</w:t>
      </w:r>
    </w:p>
    <w:p>
      <w:pPr>
        <w:pStyle w:val="Heading2"/>
        <w:spacing w:before="80" w:after="40"/>
      </w:pPr>
      <w:r>
        <w:t>2.1  Evolutionary Origin &amp; Structure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2.1  Evolutionary Origin &amp; Structure</w:t>
            </w:r>
          </w:p>
        </w:tc>
      </w:tr>
    </w:tbl>
    <w:p>
      <w:pPr>
        <w:spacing w:after="40"/>
      </w:pPr>
    </w:p>
    <w:p>
      <w:pPr>
        <w:spacing w:after="100"/>
        <w:jc w:val="left"/>
      </w:pPr>
      <w:r>
        <w:rPr>
          <w:rFonts w:ascii="Calibri" w:hAnsi="Calibri"/>
          <w:b w:val="0"/>
          <w:i w:val="0"/>
          <w:color w:val="1A1A1A"/>
          <w:sz w:val="19"/>
        </w:rPr>
        <w:t>The elephant's trunk (proboscis) is a remarkable evolutionary development — a fusion of the elongated nose and upper lip. It is the defining feature of Order Proboscidea and has no anatomical equivalent in any other living mammal. The trunk is classified as a muscular hydrostat — a biological structure that generates movement and force through the coordinated action of muscles alone, without any bony skeleton for support.</w:t>
      </w:r>
    </w:p>
    <w:p>
      <w:pPr>
        <w:spacing w:after="40"/>
        <w:ind w:left="283" w:hanging="170"/>
      </w:pPr>
      <w:r>
        <w:rPr>
          <w:rFonts w:ascii="Calibri" w:hAnsi="Calibri"/>
          <w:color w:val="1A1A1A"/>
          <w:sz w:val="19"/>
        </w:rPr>
        <w:t>•  Total length: approximately 1.5–2 metres in adult Asian elephants</w:t>
      </w:r>
    </w:p>
    <w:p>
      <w:pPr>
        <w:spacing w:after="40"/>
        <w:ind w:left="283" w:hanging="170"/>
      </w:pPr>
      <w:r>
        <w:rPr>
          <w:rFonts w:ascii="Calibri" w:hAnsi="Calibri"/>
          <w:color w:val="1A1A1A"/>
          <w:sz w:val="19"/>
        </w:rPr>
        <w:t>•  Contains up to 150,000 separate muscle fascicles (bundles of muscle fibres)</w:t>
      </w:r>
    </w:p>
    <w:p>
      <w:pPr>
        <w:spacing w:after="40"/>
        <w:ind w:left="283" w:hanging="170"/>
      </w:pPr>
      <w:r>
        <w:rPr>
          <w:rFonts w:ascii="Calibri" w:hAnsi="Calibri"/>
          <w:color w:val="1A1A1A"/>
          <w:sz w:val="19"/>
        </w:rPr>
        <w:t>•  Organized into FOUR main muscle groups:</w:t>
      </w:r>
    </w:p>
    <w:p>
      <w:pPr>
        <w:spacing w:after="40"/>
        <w:ind w:left="567" w:hanging="170"/>
      </w:pPr>
      <w:r>
        <w:rPr>
          <w:rFonts w:ascii="Calibri" w:hAnsi="Calibri"/>
          <w:color w:val="1A1A1A"/>
          <w:sz w:val="19"/>
        </w:rPr>
        <w:t>◦  Longitudinal muscles — for elongation and shortening</w:t>
      </w:r>
    </w:p>
    <w:p>
      <w:pPr>
        <w:spacing w:after="40"/>
        <w:ind w:left="567" w:hanging="170"/>
      </w:pPr>
      <w:r>
        <w:rPr>
          <w:rFonts w:ascii="Calibri" w:hAnsi="Calibri"/>
          <w:color w:val="1A1A1A"/>
          <w:sz w:val="19"/>
        </w:rPr>
        <w:t>◦  Radial muscles — for narrowing/stiffening the trunk</w:t>
      </w:r>
    </w:p>
    <w:p>
      <w:pPr>
        <w:spacing w:after="40"/>
        <w:ind w:left="567" w:hanging="170"/>
      </w:pPr>
      <w:r>
        <w:rPr>
          <w:rFonts w:ascii="Calibri" w:hAnsi="Calibri"/>
          <w:color w:val="1A1A1A"/>
          <w:sz w:val="19"/>
        </w:rPr>
        <w:t>◦  Transverse muscles — for lateral bending</w:t>
      </w:r>
    </w:p>
    <w:p>
      <w:pPr>
        <w:spacing w:after="40"/>
        <w:ind w:left="567" w:hanging="170"/>
      </w:pPr>
      <w:r>
        <w:rPr>
          <w:rFonts w:ascii="Calibri" w:hAnsi="Calibri"/>
          <w:color w:val="1A1A1A"/>
          <w:sz w:val="19"/>
        </w:rPr>
        <w:t>◦  Oblique muscles — for rotational movements and torsion</w:t>
      </w:r>
    </w:p>
    <w:p>
      <w:pPr>
        <w:spacing w:after="40"/>
        <w:ind w:left="283" w:hanging="170"/>
      </w:pPr>
      <w:r>
        <w:rPr>
          <w:rFonts w:ascii="Calibri" w:hAnsi="Calibri"/>
          <w:color w:val="1A1A1A"/>
          <w:sz w:val="19"/>
        </w:rPr>
        <w:t>•  No bones or cartilage — shape changes rely entirely on near-incompressibility of muscle tissue</w:t>
      </w:r>
    </w:p>
    <w:p>
      <w:pPr>
        <w:spacing w:after="40"/>
        <w:ind w:left="283" w:hanging="170"/>
      </w:pPr>
      <w:r>
        <w:rPr>
          <w:rFonts w:ascii="Calibri" w:hAnsi="Calibri"/>
          <w:color w:val="1A1A1A"/>
          <w:sz w:val="19"/>
        </w:rPr>
        <w:t>•  Abundant blood vessels support high metabolic demands and enable stiffening through engorgement</w:t>
      </w:r>
    </w:p>
    <w:p>
      <w:pPr>
        <w:pStyle w:val="Heading2"/>
        <w:spacing w:before="80" w:after="40"/>
      </w:pPr>
      <w:r>
        <w:t>2.2  Finger-like Tip — Asian vs African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2.2  Finger-like Tip — Asian vs African</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118"/>
            <w:shd w:val="clear" w:color="auto" w:fill="2D6A4F"/>
          </w:tcPr>
          <w:p>
            <w:pPr>
              <w:jc w:val="center"/>
            </w:pPr>
            <w:r>
              <w:rPr>
                <w:rFonts w:ascii="Calibri" w:hAnsi="Calibri"/>
                <w:b/>
                <w:color w:val="FFFFFF"/>
                <w:sz w:val="17"/>
              </w:rPr>
              <w:t>Asian Elephant</w:t>
            </w:r>
          </w:p>
        </w:tc>
        <w:tc>
          <w:tcPr>
            <w:tcW w:type="dxa" w:w="3118"/>
            <w:shd w:val="clear" w:color="auto" w:fill="2D6A4F"/>
          </w:tcPr>
          <w:p>
            <w:pPr>
              <w:jc w:val="center"/>
            </w:pPr>
            <w:r>
              <w:rPr>
                <w:rFonts w:ascii="Calibri" w:hAnsi="Calibri"/>
                <w:b/>
                <w:color w:val="FFFFFF"/>
                <w:sz w:val="17"/>
              </w:rPr>
              <w:t>African Elephant</w:t>
            </w:r>
          </w:p>
        </w:tc>
      </w:tr>
      <w:tr>
        <w:tc>
          <w:tcPr>
            <w:tcW w:type="dxa" w:w="2835"/>
            <w:shd w:val="clear" w:color="auto" w:fill="FFFFFF"/>
          </w:tcPr>
          <w:p>
            <w:r>
              <w:rPr>
                <w:rFonts w:ascii="Calibri" w:hAnsi="Calibri"/>
                <w:b w:val="0"/>
                <w:color w:val="1A1A1A"/>
                <w:sz w:val="17"/>
              </w:rPr>
              <w:t>Trunk tip projections</w:t>
            </w:r>
          </w:p>
        </w:tc>
        <w:tc>
          <w:tcPr>
            <w:tcW w:type="dxa" w:w="3118"/>
            <w:shd w:val="clear" w:color="auto" w:fill="FFFFFF"/>
          </w:tcPr>
          <w:p>
            <w:r>
              <w:rPr>
                <w:rFonts w:ascii="Calibri" w:hAnsi="Calibri"/>
                <w:b w:val="0"/>
                <w:color w:val="1A1A1A"/>
                <w:sz w:val="17"/>
              </w:rPr>
              <w:t>ONE finger-like process (upper lip)</w:t>
            </w:r>
          </w:p>
        </w:tc>
        <w:tc>
          <w:tcPr>
            <w:tcW w:type="dxa" w:w="3118"/>
            <w:shd w:val="clear" w:color="auto" w:fill="FFFFFF"/>
          </w:tcPr>
          <w:p>
            <w:r>
              <w:rPr>
                <w:rFonts w:ascii="Calibri" w:hAnsi="Calibri"/>
                <w:b w:val="0"/>
                <w:color w:val="1A1A1A"/>
                <w:sz w:val="17"/>
              </w:rPr>
              <w:t>TWO finger-like processes (upper + lower lip)</w:t>
            </w:r>
          </w:p>
        </w:tc>
      </w:tr>
      <w:tr>
        <w:tc>
          <w:tcPr>
            <w:tcW w:type="dxa" w:w="2835"/>
            <w:shd w:val="clear" w:color="auto" w:fill="EAF7EE"/>
          </w:tcPr>
          <w:p>
            <w:r>
              <w:rPr>
                <w:rFonts w:ascii="Calibri" w:hAnsi="Calibri"/>
                <w:b w:val="0"/>
                <w:color w:val="1A1A1A"/>
                <w:sz w:val="17"/>
              </w:rPr>
              <w:t>Gripping method</w:t>
            </w:r>
          </w:p>
        </w:tc>
        <w:tc>
          <w:tcPr>
            <w:tcW w:type="dxa" w:w="3118"/>
            <w:shd w:val="clear" w:color="auto" w:fill="EAF7EE"/>
          </w:tcPr>
          <w:p>
            <w:r>
              <w:rPr>
                <w:rFonts w:ascii="Calibri" w:hAnsi="Calibri"/>
                <w:b w:val="0"/>
                <w:color w:val="1A1A1A"/>
                <w:sz w:val="17"/>
              </w:rPr>
              <w:t>Wraps around object (grasping)</w:t>
            </w:r>
          </w:p>
        </w:tc>
        <w:tc>
          <w:tcPr>
            <w:tcW w:type="dxa" w:w="3118"/>
            <w:shd w:val="clear" w:color="auto" w:fill="EAF7EE"/>
          </w:tcPr>
          <w:p>
            <w:r>
              <w:rPr>
                <w:rFonts w:ascii="Calibri" w:hAnsi="Calibri"/>
                <w:b w:val="0"/>
                <w:color w:val="1A1A1A"/>
                <w:sz w:val="17"/>
              </w:rPr>
              <w:t>Pinch between two processes</w:t>
            </w:r>
          </w:p>
        </w:tc>
      </w:tr>
      <w:tr>
        <w:tc>
          <w:tcPr>
            <w:tcW w:type="dxa" w:w="2835"/>
            <w:shd w:val="clear" w:color="auto" w:fill="FFFFFF"/>
          </w:tcPr>
          <w:p>
            <w:r>
              <w:rPr>
                <w:rFonts w:ascii="Calibri" w:hAnsi="Calibri"/>
                <w:b w:val="0"/>
                <w:color w:val="1A1A1A"/>
                <w:sz w:val="17"/>
              </w:rPr>
              <w:t>Fine motor ability</w:t>
            </w:r>
          </w:p>
        </w:tc>
        <w:tc>
          <w:tcPr>
            <w:tcW w:type="dxa" w:w="3118"/>
            <w:shd w:val="clear" w:color="auto" w:fill="FFFFFF"/>
          </w:tcPr>
          <w:p>
            <w:r>
              <w:rPr>
                <w:rFonts w:ascii="Calibri" w:hAnsi="Calibri"/>
                <w:b w:val="0"/>
                <w:color w:val="1A1A1A"/>
                <w:sz w:val="17"/>
              </w:rPr>
              <w:t>High — can pick up single blade of grass</w:t>
            </w:r>
          </w:p>
        </w:tc>
        <w:tc>
          <w:tcPr>
            <w:tcW w:type="dxa" w:w="3118"/>
            <w:shd w:val="clear" w:color="auto" w:fill="FFFFFF"/>
          </w:tcPr>
          <w:p>
            <w:r>
              <w:rPr>
                <w:rFonts w:ascii="Calibri" w:hAnsi="Calibri"/>
                <w:b w:val="0"/>
                <w:color w:val="1A1A1A"/>
                <w:sz w:val="17"/>
              </w:rPr>
              <w:t>Similar fine motor ability</w:t>
            </w:r>
          </w:p>
        </w:tc>
      </w:tr>
      <w:tr>
        <w:tc>
          <w:tcPr>
            <w:tcW w:type="dxa" w:w="2835"/>
            <w:shd w:val="clear" w:color="auto" w:fill="EAF7EE"/>
          </w:tcPr>
          <w:p>
            <w:r>
              <w:rPr>
                <w:rFonts w:ascii="Calibri" w:hAnsi="Calibri"/>
                <w:b w:val="0"/>
                <w:color w:val="1A1A1A"/>
                <w:sz w:val="17"/>
              </w:rPr>
              <w:t>Hooves on hindfoot</w:t>
            </w:r>
          </w:p>
        </w:tc>
        <w:tc>
          <w:tcPr>
            <w:tcW w:type="dxa" w:w="3118"/>
            <w:shd w:val="clear" w:color="auto" w:fill="EAF7EE"/>
          </w:tcPr>
          <w:p>
            <w:r>
              <w:rPr>
                <w:rFonts w:ascii="Calibri" w:hAnsi="Calibri"/>
                <w:b w:val="0"/>
                <w:color w:val="1A1A1A"/>
                <w:sz w:val="17"/>
              </w:rPr>
              <w:t>5 hooves</w:t>
            </w:r>
          </w:p>
        </w:tc>
        <w:tc>
          <w:tcPr>
            <w:tcW w:type="dxa" w:w="3118"/>
            <w:shd w:val="clear" w:color="auto" w:fill="EAF7EE"/>
          </w:tcPr>
          <w:p>
            <w:r>
              <w:rPr>
                <w:rFonts w:ascii="Calibri" w:hAnsi="Calibri"/>
                <w:b w:val="0"/>
                <w:color w:val="1A1A1A"/>
                <w:sz w:val="17"/>
              </w:rPr>
              <w:t>3 hooves</w:t>
            </w:r>
          </w:p>
        </w:tc>
      </w:tr>
    </w:tbl>
    <w:p>
      <w:pPr>
        <w:spacing w:after="40"/>
      </w:pPr>
    </w:p>
    <w:p>
      <w:pPr>
        <w:pStyle w:val="Heading2"/>
        <w:spacing w:before="80" w:after="40"/>
      </w:pPr>
      <w:r>
        <w:t>2.3  Functions of the Trunk</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2.3  Functions of the Trunk</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2268"/>
            <w:shd w:val="clear" w:color="auto" w:fill="2D6A4F"/>
          </w:tcPr>
          <w:p>
            <w:pPr>
              <w:jc w:val="center"/>
            </w:pPr>
            <w:r>
              <w:rPr>
                <w:rFonts w:ascii="Calibri" w:hAnsi="Calibri"/>
                <w:b/>
                <w:color w:val="FFFFFF"/>
                <w:sz w:val="17"/>
              </w:rPr>
              <w:t>Function</w:t>
            </w:r>
          </w:p>
        </w:tc>
        <w:tc>
          <w:tcPr>
            <w:tcW w:type="dxa" w:w="7087"/>
            <w:shd w:val="clear" w:color="auto" w:fill="2D6A4F"/>
          </w:tcPr>
          <w:p>
            <w:pPr>
              <w:jc w:val="center"/>
            </w:pPr>
            <w:r>
              <w:rPr>
                <w:rFonts w:ascii="Calibri" w:hAnsi="Calibri"/>
                <w:b/>
                <w:color w:val="FFFFFF"/>
                <w:sz w:val="17"/>
              </w:rPr>
              <w:t>Detail</w:t>
            </w:r>
          </w:p>
        </w:tc>
      </w:tr>
      <w:tr>
        <w:tc>
          <w:tcPr>
            <w:tcW w:type="dxa" w:w="2268"/>
            <w:shd w:val="clear" w:color="auto" w:fill="FFFFFF"/>
          </w:tcPr>
          <w:p>
            <w:r>
              <w:rPr>
                <w:rFonts w:ascii="Calibri" w:hAnsi="Calibri"/>
                <w:b w:val="0"/>
                <w:color w:val="1A1A1A"/>
                <w:sz w:val="17"/>
              </w:rPr>
              <w:t>Respiration</w:t>
            </w:r>
          </w:p>
        </w:tc>
        <w:tc>
          <w:tcPr>
            <w:tcW w:type="dxa" w:w="7087"/>
            <w:shd w:val="clear" w:color="auto" w:fill="FFFFFF"/>
          </w:tcPr>
          <w:p>
            <w:r>
              <w:rPr>
                <w:rFonts w:ascii="Calibri" w:hAnsi="Calibri"/>
                <w:b w:val="0"/>
                <w:color w:val="1A1A1A"/>
                <w:sz w:val="17"/>
              </w:rPr>
              <w:t>Primary airway — breathing through trunk nostrils</w:t>
            </w:r>
          </w:p>
        </w:tc>
      </w:tr>
      <w:tr>
        <w:tc>
          <w:tcPr>
            <w:tcW w:type="dxa" w:w="2268"/>
            <w:shd w:val="clear" w:color="auto" w:fill="EAF7EE"/>
          </w:tcPr>
          <w:p>
            <w:r>
              <w:rPr>
                <w:rFonts w:ascii="Calibri" w:hAnsi="Calibri"/>
                <w:b w:val="0"/>
                <w:color w:val="1A1A1A"/>
                <w:sz w:val="17"/>
              </w:rPr>
              <w:t>Olfaction</w:t>
            </w:r>
          </w:p>
        </w:tc>
        <w:tc>
          <w:tcPr>
            <w:tcW w:type="dxa" w:w="7087"/>
            <w:shd w:val="clear" w:color="auto" w:fill="EAF7EE"/>
          </w:tcPr>
          <w:p>
            <w:r>
              <w:rPr>
                <w:rFonts w:ascii="Calibri" w:hAnsi="Calibri"/>
                <w:b w:val="0"/>
                <w:color w:val="1A1A1A"/>
                <w:sz w:val="17"/>
              </w:rPr>
              <w:t>Chemosensory — can detect scents up to 12 km; 2,000+ olfactory receptor genes</w:t>
            </w:r>
          </w:p>
        </w:tc>
      </w:tr>
      <w:tr>
        <w:tc>
          <w:tcPr>
            <w:tcW w:type="dxa" w:w="2268"/>
            <w:shd w:val="clear" w:color="auto" w:fill="FFFFFF"/>
          </w:tcPr>
          <w:p>
            <w:r>
              <w:rPr>
                <w:rFonts w:ascii="Calibri" w:hAnsi="Calibri"/>
                <w:b w:val="0"/>
                <w:color w:val="1A1A1A"/>
                <w:sz w:val="17"/>
              </w:rPr>
              <w:t>Water intake</w:t>
            </w:r>
          </w:p>
        </w:tc>
        <w:tc>
          <w:tcPr>
            <w:tcW w:type="dxa" w:w="7087"/>
            <w:shd w:val="clear" w:color="auto" w:fill="FFFFFF"/>
          </w:tcPr>
          <w:p>
            <w:r>
              <w:rPr>
                <w:rFonts w:ascii="Calibri" w:hAnsi="Calibri"/>
                <w:b w:val="0"/>
                <w:color w:val="1A1A1A"/>
                <w:sz w:val="17"/>
              </w:rPr>
              <w:t>Can hold 8–12 litres of water per fill; used for drinking and bathing</w:t>
            </w:r>
          </w:p>
        </w:tc>
      </w:tr>
      <w:tr>
        <w:tc>
          <w:tcPr>
            <w:tcW w:type="dxa" w:w="2268"/>
            <w:shd w:val="clear" w:color="auto" w:fill="EAF7EE"/>
          </w:tcPr>
          <w:p>
            <w:r>
              <w:rPr>
                <w:rFonts w:ascii="Calibri" w:hAnsi="Calibri"/>
                <w:b w:val="0"/>
                <w:color w:val="1A1A1A"/>
                <w:sz w:val="17"/>
              </w:rPr>
              <w:t>Grasping</w:t>
            </w:r>
          </w:p>
        </w:tc>
        <w:tc>
          <w:tcPr>
            <w:tcW w:type="dxa" w:w="7087"/>
            <w:shd w:val="clear" w:color="auto" w:fill="EAF7EE"/>
          </w:tcPr>
          <w:p>
            <w:r>
              <w:rPr>
                <w:rFonts w:ascii="Calibri" w:hAnsi="Calibri"/>
                <w:b w:val="0"/>
                <w:color w:val="1A1A1A"/>
                <w:sz w:val="17"/>
              </w:rPr>
              <w:t>Can carry loads up to 270 kg; also manipulates objects as small as a pin</w:t>
            </w:r>
          </w:p>
        </w:tc>
      </w:tr>
      <w:tr>
        <w:tc>
          <w:tcPr>
            <w:tcW w:type="dxa" w:w="2268"/>
            <w:shd w:val="clear" w:color="auto" w:fill="FFFFFF"/>
          </w:tcPr>
          <w:p>
            <w:r>
              <w:rPr>
                <w:rFonts w:ascii="Calibri" w:hAnsi="Calibri"/>
                <w:b w:val="0"/>
                <w:color w:val="1A1A1A"/>
                <w:sz w:val="17"/>
              </w:rPr>
              <w:t>Feeding</w:t>
            </w:r>
          </w:p>
        </w:tc>
        <w:tc>
          <w:tcPr>
            <w:tcW w:type="dxa" w:w="7087"/>
            <w:shd w:val="clear" w:color="auto" w:fill="FFFFFF"/>
          </w:tcPr>
          <w:p>
            <w:r>
              <w:rPr>
                <w:rFonts w:ascii="Calibri" w:hAnsi="Calibri"/>
                <w:b w:val="0"/>
                <w:color w:val="1A1A1A"/>
                <w:sz w:val="17"/>
              </w:rPr>
              <w:t>Strips bark, plucks grass, breaks branches; processes ~150 kg of food daily</w:t>
            </w:r>
          </w:p>
        </w:tc>
      </w:tr>
      <w:tr>
        <w:tc>
          <w:tcPr>
            <w:tcW w:type="dxa" w:w="2268"/>
            <w:shd w:val="clear" w:color="auto" w:fill="EAF7EE"/>
          </w:tcPr>
          <w:p>
            <w:r>
              <w:rPr>
                <w:rFonts w:ascii="Calibri" w:hAnsi="Calibri"/>
                <w:b w:val="0"/>
                <w:color w:val="1A1A1A"/>
                <w:sz w:val="17"/>
              </w:rPr>
              <w:t>Communication</w:t>
            </w:r>
          </w:p>
        </w:tc>
        <w:tc>
          <w:tcPr>
            <w:tcW w:type="dxa" w:w="7087"/>
            <w:shd w:val="clear" w:color="auto" w:fill="EAF7EE"/>
          </w:tcPr>
          <w:p>
            <w:r>
              <w:rPr>
                <w:rFonts w:ascii="Calibri" w:hAnsi="Calibri"/>
                <w:b w:val="0"/>
                <w:color w:val="1A1A1A"/>
                <w:sz w:val="17"/>
              </w:rPr>
              <w:t>Trumpeting, rumbling, touch gestures between individuals</w:t>
            </w:r>
          </w:p>
        </w:tc>
      </w:tr>
      <w:tr>
        <w:tc>
          <w:tcPr>
            <w:tcW w:type="dxa" w:w="2268"/>
            <w:shd w:val="clear" w:color="auto" w:fill="FFFFFF"/>
          </w:tcPr>
          <w:p>
            <w:r>
              <w:rPr>
                <w:rFonts w:ascii="Calibri" w:hAnsi="Calibri"/>
                <w:b w:val="0"/>
                <w:color w:val="1A1A1A"/>
                <w:sz w:val="17"/>
              </w:rPr>
              <w:t>Dust/mud bathing</w:t>
            </w:r>
          </w:p>
        </w:tc>
        <w:tc>
          <w:tcPr>
            <w:tcW w:type="dxa" w:w="7087"/>
            <w:shd w:val="clear" w:color="auto" w:fill="FFFFFF"/>
          </w:tcPr>
          <w:p>
            <w:r>
              <w:rPr>
                <w:rFonts w:ascii="Calibri" w:hAnsi="Calibri"/>
                <w:b w:val="0"/>
                <w:color w:val="1A1A1A"/>
                <w:sz w:val="17"/>
              </w:rPr>
              <w:t>Sprays dust/mud over body for thermoregulation and parasite control</w:t>
            </w:r>
          </w:p>
        </w:tc>
      </w:tr>
      <w:tr>
        <w:tc>
          <w:tcPr>
            <w:tcW w:type="dxa" w:w="2268"/>
            <w:shd w:val="clear" w:color="auto" w:fill="EAF7EE"/>
          </w:tcPr>
          <w:p>
            <w:r>
              <w:rPr>
                <w:rFonts w:ascii="Calibri" w:hAnsi="Calibri"/>
                <w:b w:val="0"/>
                <w:color w:val="1A1A1A"/>
                <w:sz w:val="17"/>
              </w:rPr>
              <w:t>Tool use</w:t>
            </w:r>
          </w:p>
        </w:tc>
        <w:tc>
          <w:tcPr>
            <w:tcW w:type="dxa" w:w="7087"/>
            <w:shd w:val="clear" w:color="auto" w:fill="EAF7EE"/>
          </w:tcPr>
          <w:p>
            <w:r>
              <w:rPr>
                <w:rFonts w:ascii="Calibri" w:hAnsi="Calibri"/>
                <w:b w:val="0"/>
                <w:color w:val="1A1A1A"/>
                <w:sz w:val="17"/>
              </w:rPr>
              <w:t>Uses trunk to hold tools, throw projectiles, and make gestures</w:t>
            </w:r>
          </w:p>
        </w:tc>
      </w:tr>
      <w:tr>
        <w:tc>
          <w:tcPr>
            <w:tcW w:type="dxa" w:w="2268"/>
            <w:shd w:val="clear" w:color="auto" w:fill="FFFFFF"/>
          </w:tcPr>
          <w:p>
            <w:r>
              <w:rPr>
                <w:rFonts w:ascii="Calibri" w:hAnsi="Calibri"/>
                <w:b w:val="0"/>
                <w:color w:val="1A1A1A"/>
                <w:sz w:val="17"/>
              </w:rPr>
              <w:t>Combat</w:t>
            </w:r>
          </w:p>
        </w:tc>
        <w:tc>
          <w:tcPr>
            <w:tcW w:type="dxa" w:w="7087"/>
            <w:shd w:val="clear" w:color="auto" w:fill="FFFFFF"/>
          </w:tcPr>
          <w:p>
            <w:r>
              <w:rPr>
                <w:rFonts w:ascii="Calibri" w:hAnsi="Calibri"/>
                <w:b w:val="0"/>
                <w:color w:val="1A1A1A"/>
                <w:sz w:val="17"/>
              </w:rPr>
              <w:t>Striking, pushing, and wrestling during male-male conflict</w:t>
            </w:r>
          </w:p>
        </w:tc>
      </w:tr>
    </w:tbl>
    <w:p>
      <w:pPr>
        <w:spacing w:after="40"/>
      </w:pPr>
    </w:p>
    <w:p>
      <w:pPr>
        <w:pStyle w:val="Heading2"/>
        <w:spacing w:before="80" w:after="40"/>
      </w:pPr>
      <w:r>
        <w:t>2.4  Nerve Supply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2.4  Nerve Supply</w:t>
            </w:r>
          </w:p>
        </w:tc>
      </w:tr>
    </w:tbl>
    <w:p>
      <w:pPr>
        <w:spacing w:after="40"/>
      </w:pPr>
    </w:p>
    <w:p>
      <w:pPr>
        <w:spacing w:after="40"/>
        <w:ind w:left="283" w:hanging="170"/>
      </w:pPr>
      <w:r>
        <w:rPr>
          <w:rFonts w:ascii="Calibri" w:hAnsi="Calibri"/>
          <w:color w:val="1A1A1A"/>
          <w:sz w:val="19"/>
        </w:rPr>
        <w:t>•  A unique proboscis nerve runs along both sides of the trunk, connecting to the brain</w:t>
      </w:r>
    </w:p>
    <w:p>
      <w:pPr>
        <w:spacing w:after="40"/>
        <w:ind w:left="283" w:hanging="170"/>
      </w:pPr>
      <w:r>
        <w:rPr>
          <w:rFonts w:ascii="Calibri" w:hAnsi="Calibri"/>
          <w:color w:val="1A1A1A"/>
          <w:sz w:val="19"/>
        </w:rPr>
        <w:t>•  Enables precise proprioceptive feedback for fine motor control</w:t>
      </w:r>
    </w:p>
    <w:p>
      <w:pPr>
        <w:spacing w:after="40"/>
        <w:ind w:left="283" w:hanging="170"/>
      </w:pPr>
      <w:r>
        <w:rPr>
          <w:rFonts w:ascii="Calibri" w:hAnsi="Calibri"/>
          <w:color w:val="1A1A1A"/>
          <w:sz w:val="19"/>
        </w:rPr>
        <w:t>•  The tip of the trunk has highly concentrated mechanoreceptors (similar to human fingertip sensitivity)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KEY FACT: 150,000 muscle fascicles, no bones — the trunk is the most versatile appendage in the animal kingdom. A single muscular hydrostat that breathes, smells, drinks, carries 270 kg, and picks up a pin.</w:t>
            </w:r>
          </w:p>
        </w:tc>
      </w:tr>
    </w:tbl>
    <w:p>
      <w:pPr>
        <w:spacing w:after="40"/>
      </w:pPr>
    </w:p>
    <w:p/>
    <w:p>
      <w:pPr>
        <w:spacing w:before="0" w:after="0"/>
      </w:pPr>
      <w:r>
        <w:br w:type="page"/>
      </w:r>
    </w:p>
    <w:p>
      <w:pPr>
        <w:pStyle w:val="Heading1"/>
        <w:spacing w:before="160" w:after="40"/>
      </w:pPr>
      <w:r>
        <w:t>3.  Skeletal System</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3.  Skeletal System</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slide_06.png"/>
                    <pic:cNvPicPr/>
                  </pic:nvPicPr>
                  <pic:blipFill>
                    <a:blip r:embed="rId14"/>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6 — Appendicular skeleton and 18 nails (digitigrade)</w:t>
      </w:r>
    </w:p>
    <w:p>
      <w:pPr>
        <w:spacing w:before="80" w:after="40"/>
        <w:jc w:val="center"/>
      </w:pPr>
      <w:r>
        <w:drawing>
          <wp:inline xmlns:a="http://schemas.openxmlformats.org/drawingml/2006/main" xmlns:pic="http://schemas.openxmlformats.org/drawingml/2006/picture">
            <wp:extent cx="5040000" cy="3104348"/>
            <wp:docPr id="7" name="Picture 7"/>
            <wp:cNvGraphicFramePr>
              <a:graphicFrameLocks noChangeAspect="1"/>
            </wp:cNvGraphicFramePr>
            <a:graphic>
              <a:graphicData uri="http://schemas.openxmlformats.org/drawingml/2006/picture">
                <pic:pic>
                  <pic:nvPicPr>
                    <pic:cNvPr id="0" name="slide_07.png"/>
                    <pic:cNvPicPr/>
                  </pic:nvPicPr>
                  <pic:blipFill>
                    <a:blip r:embed="rId15"/>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7 — Full articulated elephant skeleton on display at museum</w:t>
      </w:r>
    </w:p>
    <w:p>
      <w:pPr>
        <w:spacing w:before="80" w:after="40"/>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slide_08.png"/>
                    <pic:cNvPicPr/>
                  </pic:nvPicPr>
                  <pic:blipFill>
                    <a:blip r:embed="rId16"/>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8 — Cross-section comparison: Elephant bone vs Horse bone</w:t>
      </w:r>
    </w:p>
    <w:p>
      <w:pPr>
        <w:pStyle w:val="Heading2"/>
        <w:spacing w:before="80" w:after="40"/>
      </w:pPr>
      <w:r>
        <w:t>3.1  Overall Skeletal Architecture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3.1  Overall Skeletal Architecture</w:t>
            </w:r>
          </w:p>
        </w:tc>
      </w:tr>
    </w:tbl>
    <w:p>
      <w:pPr>
        <w:spacing w:after="40"/>
      </w:pPr>
    </w:p>
    <w:p>
      <w:pPr>
        <w:spacing w:after="40"/>
        <w:ind w:left="283" w:hanging="170"/>
      </w:pPr>
      <w:r>
        <w:rPr>
          <w:rFonts w:ascii="Calibri" w:hAnsi="Calibri"/>
          <w:color w:val="1A1A1A"/>
          <w:sz w:val="19"/>
        </w:rPr>
        <w:t>•  Total number of bones: 326–351 (varies between individuals)</w:t>
      </w:r>
    </w:p>
    <w:p>
      <w:pPr>
        <w:spacing w:after="40"/>
        <w:ind w:left="283" w:hanging="170"/>
      </w:pPr>
      <w:r>
        <w:rPr>
          <w:rFonts w:ascii="Calibri" w:hAnsi="Calibri"/>
          <w:color w:val="1A1A1A"/>
          <w:sz w:val="19"/>
        </w:rPr>
        <w:t>•  Skeleton divided into: skull, spinal column, ribs &amp; sternum (axial), and limbs (appendicular)</w:t>
      </w:r>
    </w:p>
    <w:p>
      <w:pPr>
        <w:spacing w:after="40"/>
        <w:ind w:left="283" w:hanging="170"/>
      </w:pPr>
      <w:r>
        <w:rPr>
          <w:rFonts w:ascii="Calibri" w:hAnsi="Calibri"/>
          <w:color w:val="1A1A1A"/>
          <w:sz w:val="19"/>
        </w:rPr>
        <w:t>•  African elephants: 21 pairs of ribs; Asian elephants: 19–20 pairs</w:t>
      </w:r>
    </w:p>
    <w:p>
      <w:pPr>
        <w:spacing w:after="40"/>
        <w:ind w:left="283" w:hanging="170"/>
      </w:pPr>
      <w:r>
        <w:rPr>
          <w:rFonts w:ascii="Calibri" w:hAnsi="Calibri"/>
          <w:color w:val="1A1A1A"/>
          <w:sz w:val="19"/>
        </w:rPr>
        <w:t>•  Vertebrae are connected by tight joints which limit backbone flexibility (unlike most mammals)</w:t>
      </w:r>
    </w:p>
    <w:p>
      <w:pPr>
        <w:spacing w:after="40"/>
        <w:ind w:left="283" w:hanging="170"/>
      </w:pPr>
      <w:r>
        <w:rPr>
          <w:rFonts w:ascii="Calibri" w:hAnsi="Calibri"/>
          <w:color w:val="1A1A1A"/>
          <w:sz w:val="19"/>
        </w:rPr>
        <w:t>•  No collarbone (clavicle): shoulder blade is suspended by a muscular sling that absorbs impact with each step</w:t>
      </w:r>
    </w:p>
    <w:p>
      <w:pPr>
        <w:pStyle w:val="Heading2"/>
        <w:spacing w:before="80" w:after="40"/>
      </w:pPr>
      <w:r>
        <w:t>3.2  Limb Architecture — Columnar Design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3.2  Limb Architecture — Columnar Design</w:t>
            </w:r>
          </w:p>
        </w:tc>
      </w:tr>
    </w:tbl>
    <w:p>
      <w:pPr>
        <w:spacing w:after="40"/>
      </w:pPr>
    </w:p>
    <w:p>
      <w:pPr>
        <w:spacing w:after="100"/>
        <w:jc w:val="left"/>
      </w:pPr>
      <w:r>
        <w:rPr>
          <w:rFonts w:ascii="Calibri" w:hAnsi="Calibri"/>
          <w:b w:val="0"/>
          <w:i w:val="0"/>
          <w:color w:val="1A1A1A"/>
          <w:sz w:val="19"/>
        </w:rPr>
        <w:t>Elephant limbs are structured in a columnar (pillar-like) fashion — bones are stacked nearly vertically, transferring the animal's weight straight down through the skeleton to the ground. This minimizes sideways (shear) forces that would otherwise fatigue bones and connective tissues over time in an animal weighing 3–5 tonnes.</w:t>
      </w:r>
    </w:p>
    <w:p>
      <w:pPr>
        <w:spacing w:after="40"/>
        <w:ind w:left="283" w:hanging="170"/>
      </w:pPr>
      <w:r>
        <w:rPr>
          <w:rFonts w:ascii="Calibri" w:hAnsi="Calibri"/>
          <w:color w:val="1A1A1A"/>
          <w:sz w:val="19"/>
        </w:rPr>
        <w:t>•  Limbs function as pillars — nearly perpendicular to the ground at all times</w:t>
      </w:r>
    </w:p>
    <w:p>
      <w:pPr>
        <w:spacing w:after="40"/>
        <w:ind w:left="283" w:hanging="170"/>
      </w:pPr>
      <w:r>
        <w:rPr>
          <w:rFonts w:ascii="Calibri" w:hAnsi="Calibri"/>
          <w:color w:val="1A1A1A"/>
          <w:sz w:val="19"/>
        </w:rPr>
        <w:t>•  Unlike other mammals, the limb is nearly straight (no extreme joint flexion at rest)</w:t>
      </w:r>
    </w:p>
    <w:p>
      <w:pPr>
        <w:spacing w:after="40"/>
        <w:ind w:left="283" w:hanging="170"/>
      </w:pPr>
      <w:r>
        <w:rPr>
          <w:rFonts w:ascii="Calibri" w:hAnsi="Calibri"/>
          <w:color w:val="1A1A1A"/>
          <w:sz w:val="19"/>
        </w:rPr>
        <w:t>•  Allows sleeping standing up without muscle fatigue</w:t>
      </w:r>
    </w:p>
    <w:p>
      <w:pPr>
        <w:spacing w:after="40"/>
        <w:ind w:left="283" w:hanging="170"/>
      </w:pPr>
      <w:r>
        <w:rPr>
          <w:rFonts w:ascii="Calibri" w:hAnsi="Calibri"/>
          <w:color w:val="1A1A1A"/>
          <w:sz w:val="19"/>
        </w:rPr>
        <w:t>•  Total of 18 nails across all four feet (digitigrade stance)</w:t>
      </w:r>
    </w:p>
    <w:p>
      <w:pPr>
        <w:pStyle w:val="Heading2"/>
        <w:spacing w:before="80" w:after="40"/>
      </w:pPr>
      <w:r>
        <w:t>3.3  Bone Microstructure — Unique Adaptations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3.3  Bone Microstructure — Unique Adaptations</w:t>
            </w:r>
          </w:p>
        </w:tc>
      </w:tr>
    </w:tbl>
    <w:p>
      <w:pPr>
        <w:spacing w:after="40"/>
      </w:pPr>
    </w:p>
    <w:p>
      <w:pPr>
        <w:spacing w:after="80"/>
        <w:jc w:val="left"/>
      </w:pPr>
      <w:r>
        <w:rPr>
          <w:rFonts w:ascii="Calibri" w:hAnsi="Calibri"/>
          <w:b w:val="0"/>
          <w:i w:val="0"/>
          <w:color w:val="1A1A1A"/>
          <w:sz w:val="19"/>
        </w:rPr>
        <w:t>A cross-section of elephant long bone compared to horse long bone (Slide 8) reveals a fundamental structural difference that is critical to understand during postmortem examination:</w:t>
      </w: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118"/>
            <w:shd w:val="clear" w:color="auto" w:fill="2D6A4F"/>
          </w:tcPr>
          <w:p>
            <w:pPr>
              <w:jc w:val="center"/>
            </w:pPr>
            <w:r>
              <w:rPr>
                <w:rFonts w:ascii="Calibri" w:hAnsi="Calibri"/>
                <w:b/>
                <w:color w:val="FFFFFF"/>
                <w:sz w:val="17"/>
              </w:rPr>
              <w:t>Elephant Long Bone</w:t>
            </w:r>
          </w:p>
        </w:tc>
        <w:tc>
          <w:tcPr>
            <w:tcW w:type="dxa" w:w="3118"/>
            <w:shd w:val="clear" w:color="auto" w:fill="2D6A4F"/>
          </w:tcPr>
          <w:p>
            <w:pPr>
              <w:jc w:val="center"/>
            </w:pPr>
            <w:r>
              <w:rPr>
                <w:rFonts w:ascii="Calibri" w:hAnsi="Calibri"/>
                <w:b/>
                <w:color w:val="FFFFFF"/>
                <w:sz w:val="17"/>
              </w:rPr>
              <w:t>Horse/Cattle Long Bone</w:t>
            </w:r>
          </w:p>
        </w:tc>
      </w:tr>
      <w:tr>
        <w:tc>
          <w:tcPr>
            <w:tcW w:type="dxa" w:w="2835"/>
            <w:shd w:val="clear" w:color="auto" w:fill="FFFFFF"/>
          </w:tcPr>
          <w:p>
            <w:r>
              <w:rPr>
                <w:rFonts w:ascii="Calibri" w:hAnsi="Calibri"/>
                <w:b w:val="0"/>
                <w:color w:val="1A1A1A"/>
                <w:sz w:val="17"/>
              </w:rPr>
              <w:t>Medullary (marrow) cavity</w:t>
            </w:r>
          </w:p>
        </w:tc>
        <w:tc>
          <w:tcPr>
            <w:tcW w:type="dxa" w:w="3118"/>
            <w:shd w:val="clear" w:color="auto" w:fill="FFFFFF"/>
          </w:tcPr>
          <w:p>
            <w:r>
              <w:rPr>
                <w:rFonts w:ascii="Calibri" w:hAnsi="Calibri"/>
                <w:b w:val="0"/>
                <w:color w:val="1A1A1A"/>
                <w:sz w:val="17"/>
              </w:rPr>
              <w:t>ABSENT — no hollow cavity</w:t>
            </w:r>
          </w:p>
        </w:tc>
        <w:tc>
          <w:tcPr>
            <w:tcW w:type="dxa" w:w="3118"/>
            <w:shd w:val="clear" w:color="auto" w:fill="FFFFFF"/>
          </w:tcPr>
          <w:p>
            <w:r>
              <w:rPr>
                <w:rFonts w:ascii="Calibri" w:hAnsi="Calibri"/>
                <w:b w:val="0"/>
                <w:color w:val="1A1A1A"/>
                <w:sz w:val="17"/>
              </w:rPr>
              <w:t>Present — large hollow cavity</w:t>
            </w:r>
          </w:p>
        </w:tc>
      </w:tr>
      <w:tr>
        <w:tc>
          <w:tcPr>
            <w:tcW w:type="dxa" w:w="2835"/>
            <w:shd w:val="clear" w:color="auto" w:fill="EAF7EE"/>
          </w:tcPr>
          <w:p>
            <w:r>
              <w:rPr>
                <w:rFonts w:ascii="Calibri" w:hAnsi="Calibri"/>
                <w:b w:val="0"/>
                <w:color w:val="1A1A1A"/>
                <w:sz w:val="17"/>
              </w:rPr>
              <w:t>Internal structure</w:t>
            </w:r>
          </w:p>
        </w:tc>
        <w:tc>
          <w:tcPr>
            <w:tcW w:type="dxa" w:w="3118"/>
            <w:shd w:val="clear" w:color="auto" w:fill="EAF7EE"/>
          </w:tcPr>
          <w:p>
            <w:r>
              <w:rPr>
                <w:rFonts w:ascii="Calibri" w:hAnsi="Calibri"/>
                <w:b w:val="0"/>
                <w:color w:val="1A1A1A"/>
                <w:sz w:val="17"/>
              </w:rPr>
              <w:t>Filled with spongy bone + red marrow throughout</w:t>
            </w:r>
          </w:p>
        </w:tc>
        <w:tc>
          <w:tcPr>
            <w:tcW w:type="dxa" w:w="3118"/>
            <w:shd w:val="clear" w:color="auto" w:fill="EAF7EE"/>
          </w:tcPr>
          <w:p>
            <w:r>
              <w:rPr>
                <w:rFonts w:ascii="Calibri" w:hAnsi="Calibri"/>
                <w:b w:val="0"/>
                <w:color w:val="1A1A1A"/>
                <w:sz w:val="17"/>
              </w:rPr>
              <w:t>Compact cortex with hollow centre</w:t>
            </w:r>
          </w:p>
        </w:tc>
      </w:tr>
      <w:tr>
        <w:tc>
          <w:tcPr>
            <w:tcW w:type="dxa" w:w="2835"/>
            <w:shd w:val="clear" w:color="auto" w:fill="FFFFFF"/>
          </w:tcPr>
          <w:p>
            <w:r>
              <w:rPr>
                <w:rFonts w:ascii="Calibri" w:hAnsi="Calibri"/>
                <w:b w:val="0"/>
                <w:color w:val="1A1A1A"/>
                <w:sz w:val="17"/>
              </w:rPr>
              <w:t>Compact bone thickness</w:t>
            </w:r>
          </w:p>
        </w:tc>
        <w:tc>
          <w:tcPr>
            <w:tcW w:type="dxa" w:w="3118"/>
            <w:shd w:val="clear" w:color="auto" w:fill="FFFFFF"/>
          </w:tcPr>
          <w:p>
            <w:r>
              <w:rPr>
                <w:rFonts w:ascii="Calibri" w:hAnsi="Calibri"/>
                <w:b w:val="0"/>
                <w:color w:val="1A1A1A"/>
                <w:sz w:val="17"/>
              </w:rPr>
              <w:t>THINNER than domestic animals</w:t>
            </w:r>
          </w:p>
        </w:tc>
        <w:tc>
          <w:tcPr>
            <w:tcW w:type="dxa" w:w="3118"/>
            <w:shd w:val="clear" w:color="auto" w:fill="FFFFFF"/>
          </w:tcPr>
          <w:p>
            <w:r>
              <w:rPr>
                <w:rFonts w:ascii="Calibri" w:hAnsi="Calibri"/>
                <w:b w:val="0"/>
                <w:color w:val="1A1A1A"/>
                <w:sz w:val="17"/>
              </w:rPr>
              <w:t>Thick cortical bone</w:t>
            </w:r>
          </w:p>
        </w:tc>
      </w:tr>
      <w:tr>
        <w:tc>
          <w:tcPr>
            <w:tcW w:type="dxa" w:w="2835"/>
            <w:shd w:val="clear" w:color="auto" w:fill="EAF7EE"/>
          </w:tcPr>
          <w:p>
            <w:r>
              <w:rPr>
                <w:rFonts w:ascii="Calibri" w:hAnsi="Calibri"/>
                <w:b w:val="0"/>
                <w:color w:val="1A1A1A"/>
                <w:sz w:val="17"/>
              </w:rPr>
              <w:t>Haemopoietic tissue</w:t>
            </w:r>
          </w:p>
        </w:tc>
        <w:tc>
          <w:tcPr>
            <w:tcW w:type="dxa" w:w="3118"/>
            <w:shd w:val="clear" w:color="auto" w:fill="EAF7EE"/>
          </w:tcPr>
          <w:p>
            <w:r>
              <w:rPr>
                <w:rFonts w:ascii="Calibri" w:hAnsi="Calibri"/>
                <w:b w:val="0"/>
                <w:color w:val="1A1A1A"/>
                <w:sz w:val="17"/>
              </w:rPr>
              <w:t>More abundant — spongy bone throughout</w:t>
            </w:r>
          </w:p>
        </w:tc>
        <w:tc>
          <w:tcPr>
            <w:tcW w:type="dxa" w:w="3118"/>
            <w:shd w:val="clear" w:color="auto" w:fill="EAF7EE"/>
          </w:tcPr>
          <w:p>
            <w:r>
              <w:rPr>
                <w:rFonts w:ascii="Calibri" w:hAnsi="Calibri"/>
                <w:b w:val="0"/>
                <w:color w:val="1A1A1A"/>
                <w:sz w:val="17"/>
              </w:rPr>
              <w:t>Less — confined to epiphyses</w:t>
            </w:r>
          </w:p>
        </w:tc>
      </w:tr>
      <w:tr>
        <w:tc>
          <w:tcPr>
            <w:tcW w:type="dxa" w:w="2835"/>
            <w:shd w:val="clear" w:color="auto" w:fill="FFFFFF"/>
          </w:tcPr>
          <w:p>
            <w:r>
              <w:rPr>
                <w:rFonts w:ascii="Calibri" w:hAnsi="Calibri"/>
                <w:b w:val="0"/>
                <w:color w:val="1A1A1A"/>
                <w:sz w:val="17"/>
              </w:rPr>
              <w:t>Evolutionary advantage</w:t>
            </w:r>
          </w:p>
        </w:tc>
        <w:tc>
          <w:tcPr>
            <w:tcW w:type="dxa" w:w="3118"/>
            <w:shd w:val="clear" w:color="auto" w:fill="FFFFFF"/>
          </w:tcPr>
          <w:p>
            <w:r>
              <w:rPr>
                <w:rFonts w:ascii="Calibri" w:hAnsi="Calibri"/>
                <w:b w:val="0"/>
                <w:color w:val="1A1A1A"/>
                <w:sz w:val="17"/>
              </w:rPr>
              <w:t>Reduces skeletal weight; increases blood cell production</w:t>
            </w:r>
          </w:p>
        </w:tc>
        <w:tc>
          <w:tcPr>
            <w:tcW w:type="dxa" w:w="3118"/>
            <w:shd w:val="clear" w:color="auto" w:fill="FFFFFF"/>
          </w:tcPr>
          <w:p>
            <w:r>
              <w:rPr>
                <w:rFonts w:ascii="Calibri" w:hAnsi="Calibri"/>
                <w:b w:val="0"/>
                <w:color w:val="1A1A1A"/>
                <w:sz w:val="17"/>
              </w:rPr>
              <w:t>Standard mammalian architecture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NECROPSY NOTE: Thin compact bone + absence of marrow cavity is NORMAL in elephants — do NOT misdiagnose as pathological osteoporosis, nutritional bone disease, or rickets during postmortem examination.</w:t>
            </w:r>
          </w:p>
        </w:tc>
      </w:tr>
    </w:tbl>
    <w:p>
      <w:pPr>
        <w:spacing w:after="40"/>
      </w:pPr>
    </w:p>
    <w:p/>
    <w:p>
      <w:pPr>
        <w:spacing w:before="0" w:after="0"/>
      </w:pPr>
      <w:r>
        <w:br w:type="page"/>
      </w:r>
    </w:p>
    <w:p>
      <w:pPr>
        <w:pStyle w:val="Heading1"/>
        <w:spacing w:before="160" w:after="40"/>
      </w:pPr>
      <w:r>
        <w:t>4.  Foot Anatomy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4.  Foot Anatomy</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9" name="Picture 9"/>
            <wp:cNvGraphicFramePr>
              <a:graphicFrameLocks noChangeAspect="1"/>
            </wp:cNvGraphicFramePr>
            <a:graphic>
              <a:graphicData uri="http://schemas.openxmlformats.org/drawingml/2006/picture">
                <pic:pic>
                  <pic:nvPicPr>
                    <pic:cNvPr id="0" name="slide_09.png"/>
                    <pic:cNvPicPr/>
                  </pic:nvPicPr>
                  <pic:blipFill>
                    <a:blip r:embed="rId17"/>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9 — Foot skeletal anatomy: forefoot (Prepollex) and hindfoot (Prehallux)</w:t>
      </w:r>
    </w:p>
    <w:p>
      <w:pPr>
        <w:pStyle w:val="Heading2"/>
        <w:spacing w:before="80" w:after="40"/>
      </w:pPr>
      <w:r>
        <w:t>4.1  Overview — Semi-Digitigrade Posture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4.1  Overview — Semi-Digitigrade Posture</w:t>
            </w:r>
          </w:p>
        </w:tc>
      </w:tr>
    </w:tbl>
    <w:p>
      <w:pPr>
        <w:spacing w:after="40"/>
      </w:pPr>
    </w:p>
    <w:p>
      <w:pPr>
        <w:spacing w:after="100"/>
        <w:jc w:val="left"/>
      </w:pPr>
      <w:r>
        <w:rPr>
          <w:rFonts w:ascii="Calibri" w:hAnsi="Calibri"/>
          <w:b w:val="0"/>
          <w:i w:val="0"/>
          <w:color w:val="1A1A1A"/>
          <w:sz w:val="19"/>
        </w:rPr>
        <w:t>Elephants walk in a semi-digitigrade posture — balancing on their toes — but the foot appears functionally flat because of the large fibro-fatty cushion pad that fills the space beneath the phalanges and sesamoid bones. This pad acts as a shock absorber, compressing under load and expanding when weight is removed, reducing ground impact pressure significantly.</w:t>
      </w:r>
    </w:p>
    <w:p>
      <w:pPr>
        <w:pStyle w:val="Heading2"/>
        <w:spacing w:before="80" w:after="40"/>
      </w:pPr>
      <w:r>
        <w:t>4.2  Bone Anatomy of the Foot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4.2  Bone Anatomy of the Foot</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jc w:val="center"/>
            </w:pPr>
            <w:r>
              <w:rPr>
                <w:rFonts w:ascii="Calibri" w:hAnsi="Calibri"/>
                <w:b/>
                <w:color w:val="FFFFFF"/>
                <w:sz w:val="17"/>
              </w:rPr>
              <w:t>Region</w:t>
            </w:r>
          </w:p>
        </w:tc>
        <w:tc>
          <w:tcPr>
            <w:tcW w:type="dxa" w:w="3402"/>
            <w:shd w:val="clear" w:color="auto" w:fill="2D6A4F"/>
          </w:tcPr>
          <w:p>
            <w:pPr>
              <w:jc w:val="center"/>
            </w:pPr>
            <w:r>
              <w:rPr>
                <w:rFonts w:ascii="Calibri" w:hAnsi="Calibri"/>
                <w:b/>
                <w:color w:val="FFFFFF"/>
                <w:sz w:val="17"/>
              </w:rPr>
              <w:t>Forefoot (Manus)</w:t>
            </w:r>
          </w:p>
        </w:tc>
        <w:tc>
          <w:tcPr>
            <w:tcW w:type="dxa" w:w="3402"/>
            <w:shd w:val="clear" w:color="auto" w:fill="2D6A4F"/>
          </w:tcPr>
          <w:p>
            <w:pPr>
              <w:jc w:val="center"/>
            </w:pPr>
            <w:r>
              <w:rPr>
                <w:rFonts w:ascii="Calibri" w:hAnsi="Calibri"/>
                <w:b/>
                <w:color w:val="FFFFFF"/>
                <w:sz w:val="17"/>
              </w:rPr>
              <w:t>Hindfoot (Pes)</w:t>
            </w:r>
          </w:p>
        </w:tc>
      </w:tr>
      <w:tr>
        <w:tc>
          <w:tcPr>
            <w:tcW w:type="dxa" w:w="2551"/>
            <w:shd w:val="clear" w:color="auto" w:fill="FFFFFF"/>
          </w:tcPr>
          <w:p>
            <w:r>
              <w:rPr>
                <w:rFonts w:ascii="Calibri" w:hAnsi="Calibri"/>
                <w:b w:val="0"/>
                <w:color w:val="1A1A1A"/>
                <w:sz w:val="17"/>
              </w:rPr>
              <w:t>Upper limb bones</w:t>
            </w:r>
          </w:p>
        </w:tc>
        <w:tc>
          <w:tcPr>
            <w:tcW w:type="dxa" w:w="3402"/>
            <w:shd w:val="clear" w:color="auto" w:fill="FFFFFF"/>
          </w:tcPr>
          <w:p>
            <w:r>
              <w:rPr>
                <w:rFonts w:ascii="Calibri" w:hAnsi="Calibri"/>
                <w:b w:val="0"/>
                <w:color w:val="1A1A1A"/>
                <w:sz w:val="17"/>
              </w:rPr>
              <w:t>Radio-Ulna</w:t>
            </w:r>
          </w:p>
        </w:tc>
        <w:tc>
          <w:tcPr>
            <w:tcW w:type="dxa" w:w="3402"/>
            <w:shd w:val="clear" w:color="auto" w:fill="FFFFFF"/>
          </w:tcPr>
          <w:p>
            <w:r>
              <w:rPr>
                <w:rFonts w:ascii="Calibri" w:hAnsi="Calibri"/>
                <w:b w:val="0"/>
                <w:color w:val="1A1A1A"/>
                <w:sz w:val="17"/>
              </w:rPr>
              <w:t>Tibia-Fibula</w:t>
            </w:r>
          </w:p>
        </w:tc>
      </w:tr>
      <w:tr>
        <w:tc>
          <w:tcPr>
            <w:tcW w:type="dxa" w:w="2551"/>
            <w:shd w:val="clear" w:color="auto" w:fill="EAF7EE"/>
          </w:tcPr>
          <w:p>
            <w:r>
              <w:rPr>
                <w:rFonts w:ascii="Calibri" w:hAnsi="Calibri"/>
                <w:b w:val="0"/>
                <w:color w:val="1A1A1A"/>
                <w:sz w:val="17"/>
              </w:rPr>
              <w:t>Proximal row</w:t>
            </w:r>
          </w:p>
        </w:tc>
        <w:tc>
          <w:tcPr>
            <w:tcW w:type="dxa" w:w="3402"/>
            <w:shd w:val="clear" w:color="auto" w:fill="EAF7EE"/>
          </w:tcPr>
          <w:p>
            <w:r>
              <w:rPr>
                <w:rFonts w:ascii="Calibri" w:hAnsi="Calibri"/>
                <w:b w:val="0"/>
                <w:color w:val="1A1A1A"/>
                <w:sz w:val="17"/>
              </w:rPr>
              <w:t>Carpal bones</w:t>
            </w:r>
          </w:p>
        </w:tc>
        <w:tc>
          <w:tcPr>
            <w:tcW w:type="dxa" w:w="3402"/>
            <w:shd w:val="clear" w:color="auto" w:fill="EAF7EE"/>
          </w:tcPr>
          <w:p>
            <w:r>
              <w:rPr>
                <w:rFonts w:ascii="Calibri" w:hAnsi="Calibri"/>
                <w:b w:val="0"/>
                <w:color w:val="1A1A1A"/>
                <w:sz w:val="17"/>
              </w:rPr>
              <w:t>Tarsal bones</w:t>
            </w:r>
          </w:p>
        </w:tc>
      </w:tr>
      <w:tr>
        <w:tc>
          <w:tcPr>
            <w:tcW w:type="dxa" w:w="2551"/>
            <w:shd w:val="clear" w:color="auto" w:fill="FFFFFF"/>
          </w:tcPr>
          <w:p>
            <w:r>
              <w:rPr>
                <w:rFonts w:ascii="Calibri" w:hAnsi="Calibri"/>
                <w:b w:val="0"/>
                <w:color w:val="1A1A1A"/>
                <w:sz w:val="17"/>
              </w:rPr>
              <w:t>Mid-foot</w:t>
            </w:r>
          </w:p>
        </w:tc>
        <w:tc>
          <w:tcPr>
            <w:tcW w:type="dxa" w:w="3402"/>
            <w:shd w:val="clear" w:color="auto" w:fill="FFFFFF"/>
          </w:tcPr>
          <w:p>
            <w:r>
              <w:rPr>
                <w:rFonts w:ascii="Calibri" w:hAnsi="Calibri"/>
                <w:b w:val="0"/>
                <w:color w:val="1A1A1A"/>
                <w:sz w:val="17"/>
              </w:rPr>
              <w:t>Metacarpal bones</w:t>
            </w:r>
          </w:p>
        </w:tc>
        <w:tc>
          <w:tcPr>
            <w:tcW w:type="dxa" w:w="3402"/>
            <w:shd w:val="clear" w:color="auto" w:fill="FFFFFF"/>
          </w:tcPr>
          <w:p>
            <w:r>
              <w:rPr>
                <w:rFonts w:ascii="Calibri" w:hAnsi="Calibri"/>
                <w:b w:val="0"/>
                <w:color w:val="1A1A1A"/>
                <w:sz w:val="17"/>
              </w:rPr>
              <w:t>Metatarsal bones</w:t>
            </w:r>
          </w:p>
        </w:tc>
      </w:tr>
      <w:tr>
        <w:tc>
          <w:tcPr>
            <w:tcW w:type="dxa" w:w="2551"/>
            <w:shd w:val="clear" w:color="auto" w:fill="EAF7EE"/>
          </w:tcPr>
          <w:p>
            <w:r>
              <w:rPr>
                <w:rFonts w:ascii="Calibri" w:hAnsi="Calibri"/>
                <w:b w:val="0"/>
                <w:color w:val="1A1A1A"/>
                <w:sz w:val="17"/>
              </w:rPr>
              <w:t>Digits</w:t>
            </w:r>
          </w:p>
        </w:tc>
        <w:tc>
          <w:tcPr>
            <w:tcW w:type="dxa" w:w="3402"/>
            <w:shd w:val="clear" w:color="auto" w:fill="EAF7EE"/>
          </w:tcPr>
          <w:p>
            <w:r>
              <w:rPr>
                <w:rFonts w:ascii="Calibri" w:hAnsi="Calibri"/>
                <w:b w:val="0"/>
                <w:color w:val="1A1A1A"/>
                <w:sz w:val="17"/>
              </w:rPr>
              <w:t>Phalanges — Digits I, II, III</w:t>
            </w:r>
          </w:p>
        </w:tc>
        <w:tc>
          <w:tcPr>
            <w:tcW w:type="dxa" w:w="3402"/>
            <w:shd w:val="clear" w:color="auto" w:fill="EAF7EE"/>
          </w:tcPr>
          <w:p>
            <w:r>
              <w:rPr>
                <w:rFonts w:ascii="Calibri" w:hAnsi="Calibri"/>
                <w:b w:val="0"/>
                <w:color w:val="1A1A1A"/>
                <w:sz w:val="17"/>
              </w:rPr>
              <w:t>Phalanges — Digits I, II, III</w:t>
            </w:r>
          </w:p>
        </w:tc>
      </w:tr>
      <w:tr>
        <w:tc>
          <w:tcPr>
            <w:tcW w:type="dxa" w:w="2551"/>
            <w:shd w:val="clear" w:color="auto" w:fill="FFFFFF"/>
          </w:tcPr>
          <w:p>
            <w:r>
              <w:rPr>
                <w:rFonts w:ascii="Calibri" w:hAnsi="Calibri"/>
                <w:b w:val="0"/>
                <w:color w:val="1A1A1A"/>
                <w:sz w:val="17"/>
              </w:rPr>
              <w:t>"Sixth digit"</w:t>
            </w:r>
          </w:p>
        </w:tc>
        <w:tc>
          <w:tcPr>
            <w:tcW w:type="dxa" w:w="3402"/>
            <w:shd w:val="clear" w:color="auto" w:fill="FFFFFF"/>
          </w:tcPr>
          <w:p>
            <w:r>
              <w:rPr>
                <w:rFonts w:ascii="Calibri" w:hAnsi="Calibri"/>
                <w:b w:val="0"/>
                <w:color w:val="1A1A1A"/>
                <w:sz w:val="17"/>
              </w:rPr>
              <w:t>Prepollex (sesamoid)</w:t>
            </w:r>
          </w:p>
        </w:tc>
        <w:tc>
          <w:tcPr>
            <w:tcW w:type="dxa" w:w="3402"/>
            <w:shd w:val="clear" w:color="auto" w:fill="FFFFFF"/>
          </w:tcPr>
          <w:p>
            <w:r>
              <w:rPr>
                <w:rFonts w:ascii="Calibri" w:hAnsi="Calibri"/>
                <w:b w:val="0"/>
                <w:color w:val="1A1A1A"/>
                <w:sz w:val="17"/>
              </w:rPr>
              <w:t>Prehallux (sesamoid)</w:t>
            </w:r>
          </w:p>
        </w:tc>
      </w:tr>
    </w:tbl>
    <w:p>
      <w:pPr>
        <w:spacing w:after="40"/>
      </w:pPr>
    </w:p>
    <w:p>
      <w:pPr>
        <w:pStyle w:val="Heading2"/>
        <w:spacing w:before="80" w:after="40"/>
      </w:pPr>
      <w:r>
        <w:t>4.3  The Sesamoid "Sixth Digit" — Pre-hallux / Pre-pollex</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4.3  The Sesamoid "Sixth Digit" — Pre-hallux / Pre-pollex</w:t>
            </w:r>
          </w:p>
        </w:tc>
      </w:tr>
    </w:tbl>
    <w:p>
      <w:pPr>
        <w:spacing w:after="40"/>
      </w:pPr>
    </w:p>
    <w:p>
      <w:pPr>
        <w:spacing w:after="80"/>
        <w:jc w:val="left"/>
      </w:pPr>
      <w:r>
        <w:rPr>
          <w:rFonts w:ascii="Calibri" w:hAnsi="Calibri"/>
          <w:b w:val="0"/>
          <w:i w:val="0"/>
          <w:color w:val="1A1A1A"/>
          <w:sz w:val="19"/>
        </w:rPr>
        <w:t>The most unique feature of elephant foot anatomy is the pre-hallux (hindfoot) and pre-pollex (forefoot) — a specialized sesamoid bone embedded within a tendon or ligament that extends into the foot pad and acts as an internal support strut:</w:t>
      </w:r>
    </w:p>
    <w:p>
      <w:pPr>
        <w:spacing w:after="40"/>
        <w:ind w:left="283" w:hanging="170"/>
      </w:pPr>
      <w:r>
        <w:rPr>
          <w:rFonts w:ascii="Calibri" w:hAnsi="Calibri"/>
          <w:color w:val="1A1A1A"/>
          <w:sz w:val="19"/>
        </w:rPr>
        <w:t>•  Does NOT articulate like a true toe — it is embedded in the fat pad, not in a synovial joint</w:t>
      </w:r>
    </w:p>
    <w:p>
      <w:pPr>
        <w:spacing w:after="40"/>
        <w:ind w:left="283" w:hanging="170"/>
      </w:pPr>
      <w:r>
        <w:rPr>
          <w:rFonts w:ascii="Calibri" w:hAnsi="Calibri"/>
          <w:color w:val="1A1A1A"/>
          <w:sz w:val="19"/>
        </w:rPr>
        <w:t>•  Acts as a lever that distributes load across the foot pad</w:t>
      </w:r>
    </w:p>
    <w:p>
      <w:pPr>
        <w:spacing w:after="40"/>
        <w:ind w:left="283" w:hanging="170"/>
      </w:pPr>
      <w:r>
        <w:rPr>
          <w:rFonts w:ascii="Calibri" w:hAnsi="Calibri"/>
          <w:color w:val="1A1A1A"/>
          <w:sz w:val="19"/>
        </w:rPr>
        <w:t>•  Works together with the cushioned fat pad to spread 3–5 tonnes across a large ground surface</w:t>
      </w:r>
    </w:p>
    <w:p>
      <w:pPr>
        <w:spacing w:after="40"/>
        <w:ind w:left="283" w:hanging="170"/>
      </w:pPr>
      <w:r>
        <w:rPr>
          <w:rFonts w:ascii="Calibri" w:hAnsi="Calibri"/>
          <w:color w:val="1A1A1A"/>
          <w:sz w:val="19"/>
        </w:rPr>
        <w:t>•  Front foot circumference can be used to accurately estimate shoulder height — FFC accounts for 86% of variance in body weight (research validated in Sumatran elephants)</w:t>
      </w:r>
    </w:p>
    <w:p>
      <w:pPr>
        <w:spacing w:after="40"/>
        <w:ind w:left="283" w:hanging="170"/>
      </w:pPr>
      <w:r>
        <w:rPr>
          <w:rFonts w:ascii="Calibri" w:hAnsi="Calibri"/>
          <w:color w:val="1A1A1A"/>
          <w:sz w:val="19"/>
        </w:rPr>
        <w:t>•  Elephants can walk silently despite their size — foot pad absorbs ground vibration</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FIELD TIP: Measure the circumference of the front foot impression at a mortality site → Height (ft) = 2 × Front Foot Circumference (ft). This is the fastest field estimate of elephant size.</w:t>
            </w:r>
          </w:p>
        </w:tc>
      </w:tr>
    </w:tbl>
    <w:p>
      <w:pPr>
        <w:spacing w:after="40"/>
      </w:pPr>
    </w:p>
    <w:p>
      <w:pPr>
        <w:pStyle w:val="Heading2"/>
        <w:spacing w:before="80" w:after="40"/>
      </w:pPr>
      <w:r>
        <w:t>4.4  Captive Foot Pathology — Major Welfare Issue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4.4  Captive Foot Pathology — Major Welfare Issue</w:t>
            </w:r>
          </w:p>
        </w:tc>
      </w:tr>
    </w:tbl>
    <w:p>
      <w:pPr>
        <w:spacing w:after="40"/>
      </w:pPr>
    </w:p>
    <w:p>
      <w:pPr>
        <w:spacing w:after="80"/>
        <w:jc w:val="left"/>
      </w:pPr>
      <w:r>
        <w:rPr>
          <w:rFonts w:ascii="Calibri" w:hAnsi="Calibri"/>
          <w:b w:val="0"/>
          <w:i w:val="0"/>
          <w:color w:val="1A1A1A"/>
          <w:sz w:val="19"/>
        </w:rPr>
        <w:t>Foot disease is the LEADING cause of premature death in captive elephants worldwide. Unlike wild elephants that walk 25–65 km/day on varied substrates, captive elephants on hard concrete or compacted soil develop progressive, often fatal foot disorders:</w:t>
      </w:r>
    </w:p>
    <w:p>
      <w:pPr>
        <w:spacing w:after="40"/>
        <w:ind w:left="283" w:hanging="170"/>
      </w:pPr>
      <w:r>
        <w:rPr>
          <w:rFonts w:ascii="Calibri" w:hAnsi="Calibri"/>
          <w:color w:val="1A1A1A"/>
          <w:sz w:val="19"/>
        </w:rPr>
        <w:t>•  Prevalence: up to 50% of captive elephants have clinically significant foot problems</w:t>
      </w:r>
    </w:p>
    <w:p>
      <w:pPr>
        <w:spacing w:after="40"/>
        <w:ind w:left="283" w:hanging="170"/>
      </w:pPr>
      <w:r>
        <w:rPr>
          <w:rFonts w:ascii="Calibri" w:hAnsi="Calibri"/>
          <w:color w:val="1A1A1A"/>
          <w:sz w:val="19"/>
        </w:rPr>
        <w:t>•  80.4% of elephants maintained on hard/unnatural surfaces develop foot-related disorders</w:t>
      </w:r>
    </w:p>
    <w:p>
      <w:pPr>
        <w:spacing w:after="40"/>
        <w:ind w:left="283" w:hanging="170"/>
      </w:pPr>
      <w:r>
        <w:rPr>
          <w:rFonts w:ascii="Calibri" w:hAnsi="Calibri"/>
          <w:color w:val="1A1A1A"/>
          <w:sz w:val="19"/>
        </w:rPr>
        <w:t>•  Foot and joint disease accounts for ~50% of captive elephant premature deaths and euthanasia decisions</w:t>
      </w: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Condition</w:t>
            </w:r>
          </w:p>
        </w:tc>
        <w:tc>
          <w:tcPr>
            <w:tcW w:type="dxa" w:w="4535"/>
            <w:shd w:val="clear" w:color="auto" w:fill="2D6A4F"/>
          </w:tcPr>
          <w:p>
            <w:pPr>
              <w:jc w:val="center"/>
            </w:pPr>
            <w:r>
              <w:rPr>
                <w:rFonts w:ascii="Calibri" w:hAnsi="Calibri"/>
                <w:b/>
                <w:color w:val="FFFFFF"/>
                <w:sz w:val="17"/>
              </w:rPr>
              <w:t>Description</w:t>
            </w:r>
          </w:p>
        </w:tc>
        <w:tc>
          <w:tcPr>
            <w:tcW w:type="dxa" w:w="2551"/>
            <w:shd w:val="clear" w:color="auto" w:fill="2D6A4F"/>
          </w:tcPr>
          <w:p>
            <w:pPr>
              <w:jc w:val="center"/>
            </w:pPr>
            <w:r>
              <w:rPr>
                <w:rFonts w:ascii="Calibri" w:hAnsi="Calibri"/>
                <w:b/>
                <w:color w:val="FFFFFF"/>
                <w:sz w:val="17"/>
              </w:rPr>
              <w:t>Severity</w:t>
            </w:r>
          </w:p>
        </w:tc>
      </w:tr>
      <w:tr>
        <w:tc>
          <w:tcPr>
            <w:tcW w:type="dxa" w:w="2268"/>
            <w:shd w:val="clear" w:color="auto" w:fill="FFFFFF"/>
          </w:tcPr>
          <w:p>
            <w:r>
              <w:rPr>
                <w:rFonts w:ascii="Calibri" w:hAnsi="Calibri"/>
                <w:b w:val="0"/>
                <w:color w:val="1A1A1A"/>
                <w:sz w:val="17"/>
              </w:rPr>
              <w:t>Toenail cracks</w:t>
            </w:r>
          </w:p>
        </w:tc>
        <w:tc>
          <w:tcPr>
            <w:tcW w:type="dxa" w:w="4535"/>
            <w:shd w:val="clear" w:color="auto" w:fill="FFFFFF"/>
          </w:tcPr>
          <w:p>
            <w:r>
              <w:rPr>
                <w:rFonts w:ascii="Calibri" w:hAnsi="Calibri"/>
                <w:b w:val="0"/>
                <w:color w:val="1A1A1A"/>
                <w:sz w:val="17"/>
              </w:rPr>
              <w:t>Longitudinal fissures in nail; entry point for bacteria</w:t>
            </w:r>
          </w:p>
        </w:tc>
        <w:tc>
          <w:tcPr>
            <w:tcW w:type="dxa" w:w="2551"/>
            <w:shd w:val="clear" w:color="auto" w:fill="FFFFFF"/>
          </w:tcPr>
          <w:p>
            <w:r>
              <w:rPr>
                <w:rFonts w:ascii="Calibri" w:hAnsi="Calibri"/>
                <w:b w:val="0"/>
                <w:color w:val="1A1A1A"/>
                <w:sz w:val="17"/>
              </w:rPr>
              <w:t>Mild–Moderate</w:t>
            </w:r>
          </w:p>
        </w:tc>
      </w:tr>
      <w:tr>
        <w:tc>
          <w:tcPr>
            <w:tcW w:type="dxa" w:w="2268"/>
            <w:shd w:val="clear" w:color="auto" w:fill="EAF7EE"/>
          </w:tcPr>
          <w:p>
            <w:r>
              <w:rPr>
                <w:rFonts w:ascii="Calibri" w:hAnsi="Calibri"/>
                <w:b w:val="0"/>
                <w:color w:val="1A1A1A"/>
                <w:sz w:val="17"/>
              </w:rPr>
              <w:t>Sole cracks / ulcers</w:t>
            </w:r>
          </w:p>
        </w:tc>
        <w:tc>
          <w:tcPr>
            <w:tcW w:type="dxa" w:w="4535"/>
            <w:shd w:val="clear" w:color="auto" w:fill="EAF7EE"/>
          </w:tcPr>
          <w:p>
            <w:r>
              <w:rPr>
                <w:rFonts w:ascii="Calibri" w:hAnsi="Calibri"/>
                <w:b w:val="0"/>
                <w:color w:val="1A1A1A"/>
                <w:sz w:val="17"/>
              </w:rPr>
              <w:t>Pad surface breaks down under abnormal loading</w:t>
            </w:r>
          </w:p>
        </w:tc>
        <w:tc>
          <w:tcPr>
            <w:tcW w:type="dxa" w:w="2551"/>
            <w:shd w:val="clear" w:color="auto" w:fill="EAF7EE"/>
          </w:tcPr>
          <w:p>
            <w:r>
              <w:rPr>
                <w:rFonts w:ascii="Calibri" w:hAnsi="Calibri"/>
                <w:b w:val="0"/>
                <w:color w:val="1A1A1A"/>
                <w:sz w:val="17"/>
              </w:rPr>
              <w:t>Moderate</w:t>
            </w:r>
          </w:p>
        </w:tc>
      </w:tr>
      <w:tr>
        <w:tc>
          <w:tcPr>
            <w:tcW w:type="dxa" w:w="2268"/>
            <w:shd w:val="clear" w:color="auto" w:fill="FFFFFF"/>
          </w:tcPr>
          <w:p>
            <w:r>
              <w:rPr>
                <w:rFonts w:ascii="Calibri" w:hAnsi="Calibri"/>
                <w:b w:val="0"/>
                <w:color w:val="1A1A1A"/>
                <w:sz w:val="17"/>
              </w:rPr>
              <w:t>Pad overgrowth</w:t>
            </w:r>
          </w:p>
        </w:tc>
        <w:tc>
          <w:tcPr>
            <w:tcW w:type="dxa" w:w="4535"/>
            <w:shd w:val="clear" w:color="auto" w:fill="FFFFFF"/>
          </w:tcPr>
          <w:p>
            <w:r>
              <w:rPr>
                <w:rFonts w:ascii="Calibri" w:hAnsi="Calibri"/>
                <w:b w:val="0"/>
                <w:color w:val="1A1A1A"/>
                <w:sz w:val="17"/>
              </w:rPr>
              <w:t>Excessive keratin build-up; changes weight distribution</w:t>
            </w:r>
          </w:p>
        </w:tc>
        <w:tc>
          <w:tcPr>
            <w:tcW w:type="dxa" w:w="2551"/>
            <w:shd w:val="clear" w:color="auto" w:fill="FFFFFF"/>
          </w:tcPr>
          <w:p>
            <w:r>
              <w:rPr>
                <w:rFonts w:ascii="Calibri" w:hAnsi="Calibri"/>
                <w:b w:val="0"/>
                <w:color w:val="1A1A1A"/>
                <w:sz w:val="17"/>
              </w:rPr>
              <w:t>Mild</w:t>
            </w:r>
          </w:p>
        </w:tc>
      </w:tr>
      <w:tr>
        <w:tc>
          <w:tcPr>
            <w:tcW w:type="dxa" w:w="2268"/>
            <w:shd w:val="clear" w:color="auto" w:fill="EAF7EE"/>
          </w:tcPr>
          <w:p>
            <w:r>
              <w:rPr>
                <w:rFonts w:ascii="Calibri" w:hAnsi="Calibri"/>
                <w:b w:val="0"/>
                <w:color w:val="1A1A1A"/>
                <w:sz w:val="17"/>
              </w:rPr>
              <w:t>Nail bed abscess</w:t>
            </w:r>
          </w:p>
        </w:tc>
        <w:tc>
          <w:tcPr>
            <w:tcW w:type="dxa" w:w="4535"/>
            <w:shd w:val="clear" w:color="auto" w:fill="EAF7EE"/>
          </w:tcPr>
          <w:p>
            <w:r>
              <w:rPr>
                <w:rFonts w:ascii="Calibri" w:hAnsi="Calibri"/>
                <w:b w:val="0"/>
                <w:color w:val="1A1A1A"/>
                <w:sz w:val="17"/>
              </w:rPr>
              <w:t>Bacterial infection under nail; extremely painful; causes lameness</w:t>
            </w:r>
          </w:p>
        </w:tc>
        <w:tc>
          <w:tcPr>
            <w:tcW w:type="dxa" w:w="2551"/>
            <w:shd w:val="clear" w:color="auto" w:fill="EAF7EE"/>
          </w:tcPr>
          <w:p>
            <w:r>
              <w:rPr>
                <w:rFonts w:ascii="Calibri" w:hAnsi="Calibri"/>
                <w:b w:val="0"/>
                <w:color w:val="1A1A1A"/>
                <w:sz w:val="17"/>
              </w:rPr>
              <w:t>Severe</w:t>
            </w:r>
          </w:p>
        </w:tc>
      </w:tr>
      <w:tr>
        <w:tc>
          <w:tcPr>
            <w:tcW w:type="dxa" w:w="2268"/>
            <w:shd w:val="clear" w:color="auto" w:fill="FFFFFF"/>
          </w:tcPr>
          <w:p>
            <w:r>
              <w:rPr>
                <w:rFonts w:ascii="Calibri" w:hAnsi="Calibri"/>
                <w:b w:val="0"/>
                <w:color w:val="1A1A1A"/>
                <w:sz w:val="17"/>
              </w:rPr>
              <w:t>Osteomyelitis</w:t>
            </w:r>
          </w:p>
        </w:tc>
        <w:tc>
          <w:tcPr>
            <w:tcW w:type="dxa" w:w="4535"/>
            <w:shd w:val="clear" w:color="auto" w:fill="FFFFFF"/>
          </w:tcPr>
          <w:p>
            <w:r>
              <w:rPr>
                <w:rFonts w:ascii="Calibri" w:hAnsi="Calibri"/>
                <w:b w:val="0"/>
                <w:color w:val="1A1A1A"/>
                <w:sz w:val="17"/>
              </w:rPr>
              <w:t>Bacterial spread to phalangeal bones; progressive bone destruction</w:t>
            </w:r>
          </w:p>
        </w:tc>
        <w:tc>
          <w:tcPr>
            <w:tcW w:type="dxa" w:w="2551"/>
            <w:shd w:val="clear" w:color="auto" w:fill="FFFFFF"/>
          </w:tcPr>
          <w:p>
            <w:r>
              <w:rPr>
                <w:rFonts w:ascii="Calibri" w:hAnsi="Calibri"/>
                <w:b w:val="0"/>
                <w:color w:val="1A1A1A"/>
                <w:sz w:val="17"/>
              </w:rPr>
              <w:t>Critical — often fatal</w:t>
            </w:r>
          </w:p>
        </w:tc>
      </w:tr>
      <w:tr>
        <w:tc>
          <w:tcPr>
            <w:tcW w:type="dxa" w:w="2268"/>
            <w:shd w:val="clear" w:color="auto" w:fill="EAF7EE"/>
          </w:tcPr>
          <w:p>
            <w:r>
              <w:rPr>
                <w:rFonts w:ascii="Calibri" w:hAnsi="Calibri"/>
                <w:b w:val="0"/>
                <w:color w:val="1A1A1A"/>
                <w:sz w:val="17"/>
              </w:rPr>
              <w:t>Arthritis / OA</w:t>
            </w:r>
          </w:p>
        </w:tc>
        <w:tc>
          <w:tcPr>
            <w:tcW w:type="dxa" w:w="4535"/>
            <w:shd w:val="clear" w:color="auto" w:fill="EAF7EE"/>
          </w:tcPr>
          <w:p>
            <w:r>
              <w:rPr>
                <w:rFonts w:ascii="Calibri" w:hAnsi="Calibri"/>
                <w:b w:val="0"/>
                <w:color w:val="1A1A1A"/>
                <w:sz w:val="17"/>
              </w:rPr>
              <w:t>Chronic joint inflammation from abnormal loading</w:t>
            </w:r>
          </w:p>
        </w:tc>
        <w:tc>
          <w:tcPr>
            <w:tcW w:type="dxa" w:w="2551"/>
            <w:shd w:val="clear" w:color="auto" w:fill="EAF7EE"/>
          </w:tcPr>
          <w:p>
            <w:r>
              <w:rPr>
                <w:rFonts w:ascii="Calibri" w:hAnsi="Calibri"/>
                <w:b w:val="0"/>
                <w:color w:val="1A1A1A"/>
                <w:sz w:val="17"/>
              </w:rPr>
              <w:t>Progressive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PREVENTION (captive elephants): Provide soft substrate (sand, soil, grass); daily foot inspection; regular nail trimming (every 4–8 weeks); avoid standing water on concrete; minimum 5 km walking per day. Early intervention is critical — foot abscesses progress to osteomyelitis within weeks if untreated.</w:t>
            </w:r>
          </w:p>
        </w:tc>
      </w:tr>
    </w:tbl>
    <w:p>
      <w:pPr>
        <w:spacing w:after="40"/>
      </w:pPr>
    </w:p>
    <w:p/>
    <w:p>
      <w:pPr>
        <w:spacing w:before="0" w:after="0"/>
      </w:pPr>
      <w:r>
        <w:br w:type="page"/>
      </w:r>
    </w:p>
    <w:p>
      <w:pPr>
        <w:pStyle w:val="Heading1"/>
        <w:spacing w:before="160" w:after="40"/>
      </w:pPr>
      <w:r>
        <w:t>5.  Thorax &amp; Rib Cage</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5.  Thorax &amp; Rib Cage</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slide_10.png"/>
                    <pic:cNvPicPr/>
                  </pic:nvPicPr>
                  <pic:blipFill>
                    <a:blip r:embed="rId18"/>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10 — Thoracic skeleton: extensive rib cage reaching to os coxae</w:t>
      </w:r>
    </w:p>
    <w:p>
      <w:pPr>
        <w:pStyle w:val="Heading2"/>
        <w:spacing w:before="80" w:after="40"/>
      </w:pPr>
      <w:r>
        <w:t>5.1  Rib Count &amp; Structure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5.1  Rib Count &amp; Structure</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118"/>
            <w:shd w:val="clear" w:color="auto" w:fill="2D6A4F"/>
          </w:tcPr>
          <w:p>
            <w:pPr>
              <w:jc w:val="center"/>
            </w:pPr>
            <w:r>
              <w:rPr>
                <w:rFonts w:ascii="Calibri" w:hAnsi="Calibri"/>
                <w:b/>
                <w:color w:val="FFFFFF"/>
                <w:sz w:val="17"/>
              </w:rPr>
              <w:t>Parameter</w:t>
            </w:r>
          </w:p>
        </w:tc>
        <w:tc>
          <w:tcPr>
            <w:tcW w:type="dxa" w:w="3118"/>
            <w:shd w:val="clear" w:color="auto" w:fill="2D6A4F"/>
          </w:tcPr>
          <w:p>
            <w:pPr>
              <w:jc w:val="center"/>
            </w:pPr>
            <w:r>
              <w:rPr>
                <w:rFonts w:ascii="Calibri" w:hAnsi="Calibri"/>
                <w:b/>
                <w:color w:val="FFFFFF"/>
                <w:sz w:val="17"/>
              </w:rPr>
              <w:t>Asian Elephant</w:t>
            </w:r>
          </w:p>
        </w:tc>
        <w:tc>
          <w:tcPr>
            <w:tcW w:type="dxa" w:w="3118"/>
            <w:shd w:val="clear" w:color="auto" w:fill="2D6A4F"/>
          </w:tcPr>
          <w:p>
            <w:pPr>
              <w:jc w:val="center"/>
            </w:pPr>
            <w:r>
              <w:rPr>
                <w:rFonts w:ascii="Calibri" w:hAnsi="Calibri"/>
                <w:b/>
                <w:color w:val="FFFFFF"/>
                <w:sz w:val="17"/>
              </w:rPr>
              <w:t>African Elephant</w:t>
            </w:r>
          </w:p>
        </w:tc>
      </w:tr>
      <w:tr>
        <w:tc>
          <w:tcPr>
            <w:tcW w:type="dxa" w:w="3118"/>
            <w:shd w:val="clear" w:color="auto" w:fill="FFFFFF"/>
          </w:tcPr>
          <w:p>
            <w:r>
              <w:rPr>
                <w:rFonts w:ascii="Calibri" w:hAnsi="Calibri"/>
                <w:b w:val="0"/>
                <w:color w:val="1A1A1A"/>
                <w:sz w:val="17"/>
              </w:rPr>
              <w:t>Total rib pairs</w:t>
            </w:r>
          </w:p>
        </w:tc>
        <w:tc>
          <w:tcPr>
            <w:tcW w:type="dxa" w:w="3118"/>
            <w:shd w:val="clear" w:color="auto" w:fill="FFFFFF"/>
          </w:tcPr>
          <w:p>
            <w:r>
              <w:rPr>
                <w:rFonts w:ascii="Calibri" w:hAnsi="Calibri"/>
                <w:b w:val="0"/>
                <w:color w:val="1A1A1A"/>
                <w:sz w:val="17"/>
              </w:rPr>
              <w:t>19–20</w:t>
            </w:r>
          </w:p>
        </w:tc>
        <w:tc>
          <w:tcPr>
            <w:tcW w:type="dxa" w:w="3118"/>
            <w:shd w:val="clear" w:color="auto" w:fill="FFFFFF"/>
          </w:tcPr>
          <w:p>
            <w:r>
              <w:rPr>
                <w:rFonts w:ascii="Calibri" w:hAnsi="Calibri"/>
                <w:b w:val="0"/>
                <w:color w:val="1A1A1A"/>
                <w:sz w:val="17"/>
              </w:rPr>
              <w:t>21</w:t>
            </w:r>
          </w:p>
        </w:tc>
      </w:tr>
      <w:tr>
        <w:tc>
          <w:tcPr>
            <w:tcW w:type="dxa" w:w="3118"/>
            <w:shd w:val="clear" w:color="auto" w:fill="EAF7EE"/>
          </w:tcPr>
          <w:p>
            <w:r>
              <w:rPr>
                <w:rFonts w:ascii="Calibri" w:hAnsi="Calibri"/>
                <w:b w:val="0"/>
                <w:color w:val="1A1A1A"/>
                <w:sz w:val="17"/>
              </w:rPr>
              <w:t>Sternal ribs (attached to sternum)</w:t>
            </w:r>
          </w:p>
        </w:tc>
        <w:tc>
          <w:tcPr>
            <w:tcW w:type="dxa" w:w="3118"/>
            <w:shd w:val="clear" w:color="auto" w:fill="EAF7EE"/>
          </w:tcPr>
          <w:p>
            <w:r>
              <w:rPr>
                <w:rFonts w:ascii="Calibri" w:hAnsi="Calibri"/>
                <w:b w:val="0"/>
                <w:color w:val="1A1A1A"/>
                <w:sz w:val="17"/>
              </w:rPr>
              <w:t>6</w:t>
            </w:r>
          </w:p>
        </w:tc>
        <w:tc>
          <w:tcPr>
            <w:tcW w:type="dxa" w:w="3118"/>
            <w:shd w:val="clear" w:color="auto" w:fill="EAF7EE"/>
          </w:tcPr>
          <w:p>
            <w:r>
              <w:rPr>
                <w:rFonts w:ascii="Calibri" w:hAnsi="Calibri"/>
                <w:b w:val="0"/>
                <w:color w:val="1A1A1A"/>
                <w:sz w:val="17"/>
              </w:rPr>
              <w:t>6</w:t>
            </w:r>
          </w:p>
        </w:tc>
      </w:tr>
      <w:tr>
        <w:tc>
          <w:tcPr>
            <w:tcW w:type="dxa" w:w="3118"/>
            <w:shd w:val="clear" w:color="auto" w:fill="FFFFFF"/>
          </w:tcPr>
          <w:p>
            <w:r>
              <w:rPr>
                <w:rFonts w:ascii="Calibri" w:hAnsi="Calibri"/>
                <w:b w:val="0"/>
                <w:color w:val="1A1A1A"/>
                <w:sz w:val="17"/>
              </w:rPr>
              <w:t>Asternal ribs (attached to cartilage)</w:t>
            </w:r>
          </w:p>
        </w:tc>
        <w:tc>
          <w:tcPr>
            <w:tcW w:type="dxa" w:w="3118"/>
            <w:shd w:val="clear" w:color="auto" w:fill="FFFFFF"/>
          </w:tcPr>
          <w:p>
            <w:r>
              <w:rPr>
                <w:rFonts w:ascii="Calibri" w:hAnsi="Calibri"/>
                <w:b w:val="0"/>
                <w:color w:val="1A1A1A"/>
                <w:sz w:val="17"/>
              </w:rPr>
              <w:t>9</w:t>
            </w:r>
          </w:p>
        </w:tc>
        <w:tc>
          <w:tcPr>
            <w:tcW w:type="dxa" w:w="3118"/>
            <w:shd w:val="clear" w:color="auto" w:fill="FFFFFF"/>
          </w:tcPr>
          <w:p>
            <w:r>
              <w:rPr>
                <w:rFonts w:ascii="Calibri" w:hAnsi="Calibri"/>
                <w:b w:val="0"/>
                <w:color w:val="1A1A1A"/>
                <w:sz w:val="17"/>
              </w:rPr>
              <w:t>9</w:t>
            </w:r>
          </w:p>
        </w:tc>
      </w:tr>
      <w:tr>
        <w:tc>
          <w:tcPr>
            <w:tcW w:type="dxa" w:w="3118"/>
            <w:shd w:val="clear" w:color="auto" w:fill="EAF7EE"/>
          </w:tcPr>
          <w:p>
            <w:r>
              <w:rPr>
                <w:rFonts w:ascii="Calibri" w:hAnsi="Calibri"/>
                <w:b w:val="0"/>
                <w:color w:val="1A1A1A"/>
                <w:sz w:val="17"/>
              </w:rPr>
              <w:t>Floating ribs (free)</w:t>
            </w:r>
          </w:p>
        </w:tc>
        <w:tc>
          <w:tcPr>
            <w:tcW w:type="dxa" w:w="3118"/>
            <w:shd w:val="clear" w:color="auto" w:fill="EAF7EE"/>
          </w:tcPr>
          <w:p>
            <w:r>
              <w:rPr>
                <w:rFonts w:ascii="Calibri" w:hAnsi="Calibri"/>
                <w:b w:val="0"/>
                <w:color w:val="1A1A1A"/>
                <w:sz w:val="17"/>
              </w:rPr>
              <w:t>~4–5</w:t>
            </w:r>
          </w:p>
        </w:tc>
        <w:tc>
          <w:tcPr>
            <w:tcW w:type="dxa" w:w="3118"/>
            <w:shd w:val="clear" w:color="auto" w:fill="EAF7EE"/>
          </w:tcPr>
          <w:p>
            <w:r>
              <w:rPr>
                <w:rFonts w:ascii="Calibri" w:hAnsi="Calibri"/>
                <w:b w:val="0"/>
                <w:color w:val="1A1A1A"/>
                <w:sz w:val="17"/>
              </w:rPr>
              <w:t>~6</w:t>
            </w:r>
          </w:p>
        </w:tc>
      </w:tr>
      <w:tr>
        <w:tc>
          <w:tcPr>
            <w:tcW w:type="dxa" w:w="3118"/>
            <w:shd w:val="clear" w:color="auto" w:fill="FFFFFF"/>
          </w:tcPr>
          <w:p>
            <w:r>
              <w:rPr>
                <w:rFonts w:ascii="Calibri" w:hAnsi="Calibri"/>
                <w:b w:val="0"/>
                <w:color w:val="1A1A1A"/>
                <w:sz w:val="17"/>
              </w:rPr>
              <w:t>Extent of rib cage</w:t>
            </w:r>
          </w:p>
        </w:tc>
        <w:tc>
          <w:tcPr>
            <w:tcW w:type="dxa" w:w="3118"/>
            <w:shd w:val="clear" w:color="auto" w:fill="FFFFFF"/>
          </w:tcPr>
          <w:p>
            <w:r>
              <w:rPr>
                <w:rFonts w:ascii="Calibri" w:hAnsi="Calibri"/>
                <w:b w:val="0"/>
                <w:color w:val="1A1A1A"/>
                <w:sz w:val="17"/>
              </w:rPr>
              <w:t>Reaches nearly to os coxae level</w:t>
            </w:r>
          </w:p>
        </w:tc>
        <w:tc>
          <w:tcPr>
            <w:tcW w:type="dxa" w:w="3118"/>
            <w:shd w:val="clear" w:color="auto" w:fill="FFFFFF"/>
          </w:tcPr>
          <w:p>
            <w:r>
              <w:rPr>
                <w:rFonts w:ascii="Calibri" w:hAnsi="Calibri"/>
                <w:b w:val="0"/>
                <w:color w:val="1A1A1A"/>
                <w:sz w:val="17"/>
              </w:rPr>
              <w:t>Similar extent</w:t>
            </w:r>
          </w:p>
        </w:tc>
      </w:tr>
      <w:tr>
        <w:tc>
          <w:tcPr>
            <w:tcW w:type="dxa" w:w="3118"/>
            <w:shd w:val="clear" w:color="auto" w:fill="EAF7EE"/>
          </w:tcPr>
          <w:p>
            <w:r>
              <w:rPr>
                <w:rFonts w:ascii="Calibri" w:hAnsi="Calibri"/>
                <w:b w:val="0"/>
                <w:color w:val="1A1A1A"/>
                <w:sz w:val="17"/>
              </w:rPr>
              <w:t>Thoracic cavity size</w:t>
            </w:r>
          </w:p>
        </w:tc>
        <w:tc>
          <w:tcPr>
            <w:tcW w:type="dxa" w:w="3118"/>
            <w:shd w:val="clear" w:color="auto" w:fill="EAF7EE"/>
          </w:tcPr>
          <w:p>
            <w:r>
              <w:rPr>
                <w:rFonts w:ascii="Calibri" w:hAnsi="Calibri"/>
                <w:b w:val="0"/>
                <w:color w:val="1A1A1A"/>
                <w:sz w:val="17"/>
              </w:rPr>
              <w:t>Very large</w:t>
            </w:r>
          </w:p>
        </w:tc>
        <w:tc>
          <w:tcPr>
            <w:tcW w:type="dxa" w:w="3118"/>
            <w:shd w:val="clear" w:color="auto" w:fill="EAF7EE"/>
          </w:tcPr>
          <w:p>
            <w:r>
              <w:rPr>
                <w:rFonts w:ascii="Calibri" w:hAnsi="Calibri"/>
                <w:b w:val="0"/>
                <w:color w:val="1A1A1A"/>
                <w:sz w:val="17"/>
              </w:rPr>
              <w:t>Very large</w:t>
            </w:r>
          </w:p>
        </w:tc>
      </w:tr>
    </w:tbl>
    <w:p>
      <w:pPr>
        <w:spacing w:after="40"/>
      </w:pPr>
    </w:p>
    <w:p>
      <w:pPr>
        <w:spacing w:after="40"/>
        <w:ind w:left="283" w:hanging="170"/>
      </w:pPr>
      <w:r>
        <w:rPr>
          <w:rFonts w:ascii="Calibri" w:hAnsi="Calibri"/>
          <w:color w:val="1A1A1A"/>
          <w:sz w:val="19"/>
        </w:rPr>
        <w:t>•  Sternum: has a definite keel present; xiphoid cartilage articulates obliquely and bends ventrally</w:t>
      </w:r>
    </w:p>
    <w:p>
      <w:pPr>
        <w:spacing w:after="40"/>
        <w:ind w:left="283" w:hanging="170"/>
      </w:pPr>
      <w:r>
        <w:rPr>
          <w:rFonts w:ascii="Calibri" w:hAnsi="Calibri"/>
          <w:color w:val="1A1A1A"/>
          <w:sz w:val="19"/>
        </w:rPr>
        <w:t>•  The enormous thoracic cavity accommodates a 12–21 kg heart and large lungs</w:t>
      </w:r>
    </w:p>
    <w:p>
      <w:pPr>
        <w:pStyle w:val="Heading2"/>
        <w:spacing w:before="80" w:after="40"/>
      </w:pPr>
      <w:r>
        <w:t>5.2  No Pleural Space — Unique Respiratory Anatomy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5.2  No Pleural Space — Unique Respiratory Anatomy</w:t>
            </w:r>
          </w:p>
        </w:tc>
      </w:tr>
    </w:tbl>
    <w:p>
      <w:pPr>
        <w:spacing w:after="40"/>
      </w:pPr>
    </w:p>
    <w:p>
      <w:pPr>
        <w:spacing w:after="100"/>
        <w:jc w:val="left"/>
      </w:pPr>
      <w:r>
        <w:rPr>
          <w:rFonts w:ascii="Calibri" w:hAnsi="Calibri"/>
          <w:b w:val="0"/>
          <w:i w:val="0"/>
          <w:color w:val="1A1A1A"/>
          <w:sz w:val="19"/>
        </w:rPr>
        <w:t>The elephant is the ONLY mammal known to have no true pleural space. In all other mammals, a fluid-filled pleural cavity separates the visceral pleura (covering the lung) from the parietal pleura (lining the chest wall), creating a sealed pressure-differential space that drives breathing. In elephants:</w:t>
      </w:r>
    </w:p>
    <w:p>
      <w:pPr>
        <w:spacing w:after="40"/>
        <w:ind w:left="283" w:hanging="170"/>
      </w:pPr>
      <w:r>
        <w:rPr>
          <w:rFonts w:ascii="Calibri" w:hAnsi="Calibri"/>
          <w:color w:val="1A1A1A"/>
          <w:sz w:val="19"/>
        </w:rPr>
        <w:t>•  Both visceral and parietal pleura are composed of DENSE CONNECTIVE TISSUE</w:t>
      </w:r>
    </w:p>
    <w:p>
      <w:pPr>
        <w:spacing w:after="40"/>
        <w:ind w:left="283" w:hanging="170"/>
      </w:pPr>
      <w:r>
        <w:rPr>
          <w:rFonts w:ascii="Calibri" w:hAnsi="Calibri"/>
          <w:color w:val="1A1A1A"/>
          <w:sz w:val="19"/>
        </w:rPr>
        <w:t>•  The two pleural layers are FUSED together via loose connective tissue — no fluid-filled space between them</w:t>
      </w:r>
    </w:p>
    <w:p>
      <w:pPr>
        <w:spacing w:after="40"/>
        <w:ind w:left="283" w:hanging="170"/>
      </w:pPr>
      <w:r>
        <w:rPr>
          <w:rFonts w:ascii="Calibri" w:hAnsi="Calibri"/>
          <w:color w:val="1A1A1A"/>
          <w:sz w:val="19"/>
        </w:rPr>
        <w:t>•  Lungs are therefore physically ADHERED to the chest wall — they cannot collapse like mammalian lungs normally do</w:t>
      </w:r>
    </w:p>
    <w:p>
      <w:pPr>
        <w:spacing w:after="40"/>
        <w:ind w:left="283" w:hanging="170"/>
      </w:pPr>
      <w:r>
        <w:rPr>
          <w:rFonts w:ascii="Calibri" w:hAnsi="Calibri"/>
          <w:color w:val="1A1A1A"/>
          <w:sz w:val="19"/>
        </w:rPr>
        <w:t>•  Breathing is driven almost entirely by DIAPHRAGM MOVEMENT (not by rib cage expansion and contraction)</w:t>
      </w:r>
    </w:p>
    <w:p>
      <w:pPr>
        <w:spacing w:after="40"/>
        <w:ind w:left="283" w:hanging="170"/>
      </w:pPr>
      <w:r>
        <w:rPr>
          <w:rFonts w:ascii="Calibri" w:hAnsi="Calibri"/>
          <w:color w:val="1A1A1A"/>
          <w:sz w:val="19"/>
        </w:rPr>
        <w:t>•  This adaptation is thought to be related to their semi-aquatic evolutionary ancestry (swimming elephants submerge trunks)</w:t>
      </w:r>
    </w:p>
    <w:p>
      <w:pPr>
        <w:spacing w:after="40"/>
        <w:ind w:left="283" w:hanging="170"/>
      </w:pPr>
      <w:r>
        <w:rPr>
          <w:rFonts w:ascii="Calibri" w:hAnsi="Calibri"/>
          <w:color w:val="1A1A1A"/>
          <w:sz w:val="19"/>
        </w:rPr>
        <w:t>•  An unusually thick diaphragm generates the respiratory pressure differences</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CRITICAL CLINICAL DANGER:</w:t>
              <w:br/>
              <w:t>1. STERNAL RECUMBENCY IS FATAL — In sternal position, the abdominal organs compress the diaphragm from below, preventing its movement → complete respiratory arrest. The xiphoid arrangement also prevents normal sternal recumbency. Always maintain LATERAL recumbency.</w:t>
              <w:br/>
              <w:t>2. NO THORACOCENTESIS — Because the pleural layers are fused (no pleural cavity), it is impossible to drain a pleural effusion. Any fluid accumulation in this connective tissue layer is a serious clinical emergency.</w:t>
              <w:br/>
              <w:t>3. ANAESTHESIA: Ventilation support must account for diaphragm-driven breathing — IPPV parameters differ significantly from other large mammals.</w:t>
            </w:r>
          </w:p>
        </w:tc>
      </w:tr>
    </w:tbl>
    <w:p>
      <w:pPr>
        <w:spacing w:after="40"/>
      </w:pPr>
    </w:p>
    <w:p/>
    <w:p>
      <w:pPr>
        <w:spacing w:before="0" w:after="0"/>
      </w:pPr>
      <w:r>
        <w:br w:type="page"/>
      </w:r>
    </w:p>
    <w:p>
      <w:pPr>
        <w:pStyle w:val="Heading1"/>
        <w:spacing w:before="160" w:after="40"/>
      </w:pPr>
      <w:r>
        <w:t>6.  Skull Morphology &amp; Sexual Dimorphism</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6.  Skull Morphology &amp; Sexual Dimorphism</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1" name="Picture 11"/>
            <wp:cNvGraphicFramePr>
              <a:graphicFrameLocks noChangeAspect="1"/>
            </wp:cNvGraphicFramePr>
            <a:graphic>
              <a:graphicData uri="http://schemas.openxmlformats.org/drawingml/2006/picture">
                <pic:pic>
                  <pic:nvPicPr>
                    <pic:cNvPr id="0" name="slide_11.png"/>
                    <pic:cNvPicPr/>
                  </pic:nvPicPr>
                  <pic:blipFill>
                    <a:blip r:embed="rId19"/>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11 — Skull: Male vs Female (Frontal view) with labelled anatomy</w:t>
      </w:r>
    </w:p>
    <w:p>
      <w:pPr>
        <w:spacing w:before="80" w:after="4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lide_12.png"/>
                    <pic:cNvPicPr/>
                  </pic:nvPicPr>
                  <pic:blipFill>
                    <a:blip r:embed="rId20"/>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12 — Skull: Lateral view, mandible comparison and photograph</w:t>
      </w:r>
    </w:p>
    <w:p>
      <w:pPr>
        <w:spacing w:before="80" w:after="40"/>
        <w:jc w:val="center"/>
      </w:pPr>
      <w:r>
        <w:drawing>
          <wp:inline xmlns:a="http://schemas.openxmlformats.org/drawingml/2006/main" xmlns:pic="http://schemas.openxmlformats.org/drawingml/2006/picture">
            <wp:extent cx="5040000" cy="3104348"/>
            <wp:docPr id="13" name="Picture 13"/>
            <wp:cNvGraphicFramePr>
              <a:graphicFrameLocks noChangeAspect="1"/>
            </wp:cNvGraphicFramePr>
            <a:graphic>
              <a:graphicData uri="http://schemas.openxmlformats.org/drawingml/2006/picture">
                <pic:pic>
                  <pic:nvPicPr>
                    <pic:cNvPr id="0" name="slide_13.png"/>
                    <pic:cNvPicPr/>
                  </pic:nvPicPr>
                  <pic:blipFill>
                    <a:blip r:embed="rId21"/>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13 — Skull photographs: male (left) vs female (right)</w:t>
      </w:r>
    </w:p>
    <w:p>
      <w:pPr>
        <w:pStyle w:val="Heading2"/>
        <w:spacing w:before="80" w:after="40"/>
      </w:pPr>
      <w:r>
        <w:t>6.1  Skull Architecture — General Features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6.1  Skull Architecture — General Features</w:t>
            </w:r>
          </w:p>
        </w:tc>
      </w:tr>
    </w:tbl>
    <w:p>
      <w:pPr>
        <w:spacing w:after="40"/>
      </w:pPr>
    </w:p>
    <w:p>
      <w:pPr>
        <w:spacing w:after="100"/>
        <w:jc w:val="left"/>
      </w:pPr>
      <w:r>
        <w:rPr>
          <w:rFonts w:ascii="Calibri" w:hAnsi="Calibri"/>
          <w:b w:val="0"/>
          <w:i w:val="0"/>
          <w:color w:val="1A1A1A"/>
          <w:sz w:val="19"/>
        </w:rPr>
        <w:t>The elephant skull is one of the most distinctive in the animal kingdom. Its apparent size is largely an illusion — the skull is filled with an extensive honeycomb-like network of air sinuses (diploë), which dramatically reduce the skull's actual bone weight while maintaining structural rigidity. This is essential for supporting the heavy trunk and tusks without overloading the neck.</w:t>
      </w:r>
    </w:p>
    <w:p>
      <w:pPr>
        <w:spacing w:after="40"/>
        <w:ind w:left="283" w:hanging="170"/>
      </w:pPr>
      <w:r>
        <w:rPr>
          <w:rFonts w:ascii="Calibri" w:hAnsi="Calibri"/>
          <w:color w:val="1A1A1A"/>
          <w:sz w:val="19"/>
        </w:rPr>
        <w:t>•  Massive diploic (honeycomb) sinuses fill the forehead region — give the skull its domed appearance</w:t>
      </w:r>
    </w:p>
    <w:p>
      <w:pPr>
        <w:spacing w:after="40"/>
        <w:ind w:left="283" w:hanging="170"/>
      </w:pPr>
      <w:r>
        <w:rPr>
          <w:rFonts w:ascii="Calibri" w:hAnsi="Calibri"/>
          <w:color w:val="1A1A1A"/>
          <w:sz w:val="19"/>
        </w:rPr>
        <w:t>•  The true brain case is relatively small, positioned posteriorly within the skull mass</w:t>
      </w:r>
    </w:p>
    <w:p>
      <w:pPr>
        <w:spacing w:after="40"/>
        <w:ind w:left="283" w:hanging="170"/>
      </w:pPr>
      <w:r>
        <w:rPr>
          <w:rFonts w:ascii="Calibri" w:hAnsi="Calibri"/>
          <w:color w:val="1A1A1A"/>
          <w:sz w:val="19"/>
        </w:rPr>
        <w:t>•  Skull contains: interparietal, parietal, frontal, nasal, lacrimal, maxilla, premaxilla, mandible, temporal and occipital bones</w:t>
      </w:r>
    </w:p>
    <w:p>
      <w:pPr>
        <w:spacing w:after="40"/>
        <w:ind w:left="283" w:hanging="170"/>
      </w:pPr>
      <w:r>
        <w:rPr>
          <w:rFonts w:ascii="Calibri" w:hAnsi="Calibri"/>
          <w:color w:val="1A1A1A"/>
          <w:sz w:val="19"/>
        </w:rPr>
        <w:t>•  Incisive fossa = deep depression in the premaxilla where tusk roots (alveoli) are embedded</w:t>
      </w:r>
    </w:p>
    <w:p>
      <w:pPr>
        <w:spacing w:after="40"/>
        <w:ind w:left="283" w:hanging="170"/>
      </w:pPr>
      <w:r>
        <w:rPr>
          <w:rFonts w:ascii="Calibri" w:hAnsi="Calibri"/>
          <w:color w:val="1A1A1A"/>
          <w:sz w:val="19"/>
        </w:rPr>
        <w:t>•  Infraorbital foramen present on the dorsal skull surface below the orbit</w:t>
      </w:r>
    </w:p>
    <w:p>
      <w:pPr>
        <w:pStyle w:val="Heading2"/>
        <w:spacing w:before="80" w:after="40"/>
      </w:pPr>
      <w:r>
        <w:t>6.2  Sexual Dimorphism — Frontal View</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6.2  Sexual Dimorphism — Frontal View</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 (Frontal view)</w:t>
            </w:r>
          </w:p>
        </w:tc>
        <w:tc>
          <w:tcPr>
            <w:tcW w:type="dxa" w:w="3118"/>
            <w:shd w:val="clear" w:color="auto" w:fill="2D6A4F"/>
          </w:tcPr>
          <w:p>
            <w:pPr>
              <w:jc w:val="center"/>
            </w:pPr>
            <w:r>
              <w:rPr>
                <w:rFonts w:ascii="Calibri" w:hAnsi="Calibri"/>
                <w:b/>
                <w:color w:val="FFFFFF"/>
                <w:sz w:val="17"/>
              </w:rPr>
              <w:t>Male Skull</w:t>
            </w:r>
          </w:p>
        </w:tc>
        <w:tc>
          <w:tcPr>
            <w:tcW w:type="dxa" w:w="3118"/>
            <w:shd w:val="clear" w:color="auto" w:fill="2D6A4F"/>
          </w:tcPr>
          <w:p>
            <w:pPr>
              <w:jc w:val="center"/>
            </w:pPr>
            <w:r>
              <w:rPr>
                <w:rFonts w:ascii="Calibri" w:hAnsi="Calibri"/>
                <w:b/>
                <w:color w:val="FFFFFF"/>
                <w:sz w:val="17"/>
              </w:rPr>
              <w:t>Female Skull</w:t>
            </w:r>
          </w:p>
        </w:tc>
      </w:tr>
      <w:tr>
        <w:tc>
          <w:tcPr>
            <w:tcW w:type="dxa" w:w="2835"/>
            <w:shd w:val="clear" w:color="auto" w:fill="FFFFFF"/>
          </w:tcPr>
          <w:p>
            <w:r>
              <w:rPr>
                <w:rFonts w:ascii="Calibri" w:hAnsi="Calibri"/>
                <w:b w:val="0"/>
                <w:color w:val="1A1A1A"/>
                <w:sz w:val="17"/>
              </w:rPr>
              <w:t>Parieto-occipital crest (A)</w:t>
            </w:r>
          </w:p>
        </w:tc>
        <w:tc>
          <w:tcPr>
            <w:tcW w:type="dxa" w:w="3118"/>
            <w:shd w:val="clear" w:color="auto" w:fill="FFFFFF"/>
          </w:tcPr>
          <w:p>
            <w:r>
              <w:rPr>
                <w:rFonts w:ascii="Calibri" w:hAnsi="Calibri"/>
                <w:b w:val="0"/>
                <w:color w:val="1A1A1A"/>
                <w:sz w:val="17"/>
              </w:rPr>
              <w:t>Concave / distinctly depressed on median plane of dorsal border</w:t>
            </w:r>
          </w:p>
        </w:tc>
        <w:tc>
          <w:tcPr>
            <w:tcW w:type="dxa" w:w="3118"/>
            <w:shd w:val="clear" w:color="auto" w:fill="FFFFFF"/>
          </w:tcPr>
          <w:p>
            <w:r>
              <w:rPr>
                <w:rFonts w:ascii="Calibri" w:hAnsi="Calibri"/>
                <w:b w:val="0"/>
                <w:color w:val="1A1A1A"/>
                <w:sz w:val="17"/>
              </w:rPr>
              <w:t>Rounded and somewhat convex on dorso-median region</w:t>
            </w:r>
          </w:p>
        </w:tc>
      </w:tr>
      <w:tr>
        <w:tc>
          <w:tcPr>
            <w:tcW w:type="dxa" w:w="2835"/>
            <w:shd w:val="clear" w:color="auto" w:fill="EAF7EE"/>
          </w:tcPr>
          <w:p>
            <w:r>
              <w:rPr>
                <w:rFonts w:ascii="Calibri" w:hAnsi="Calibri"/>
                <w:b w:val="0"/>
                <w:color w:val="1A1A1A"/>
                <w:sz w:val="17"/>
              </w:rPr>
              <w:t>Frontal bone (B)</w:t>
            </w:r>
          </w:p>
        </w:tc>
        <w:tc>
          <w:tcPr>
            <w:tcW w:type="dxa" w:w="3118"/>
            <w:shd w:val="clear" w:color="auto" w:fill="EAF7EE"/>
          </w:tcPr>
          <w:p>
            <w:r>
              <w:rPr>
                <w:rFonts w:ascii="Calibri" w:hAnsi="Calibri"/>
                <w:b w:val="0"/>
                <w:color w:val="1A1A1A"/>
                <w:sz w:val="17"/>
              </w:rPr>
              <w:t>Narrow forehead; "pinched" above nares</w:t>
            </w:r>
          </w:p>
        </w:tc>
        <w:tc>
          <w:tcPr>
            <w:tcW w:type="dxa" w:w="3118"/>
            <w:shd w:val="clear" w:color="auto" w:fill="EAF7EE"/>
          </w:tcPr>
          <w:p>
            <w:r>
              <w:rPr>
                <w:rFonts w:ascii="Calibri" w:hAnsi="Calibri"/>
                <w:b w:val="0"/>
                <w:color w:val="1A1A1A"/>
                <w:sz w:val="17"/>
              </w:rPr>
              <w:t>Wider forehead</w:t>
            </w:r>
          </w:p>
        </w:tc>
      </w:tr>
      <w:tr>
        <w:tc>
          <w:tcPr>
            <w:tcW w:type="dxa" w:w="2835"/>
            <w:shd w:val="clear" w:color="auto" w:fill="FFFFFF"/>
          </w:tcPr>
          <w:p>
            <w:r>
              <w:rPr>
                <w:rFonts w:ascii="Calibri" w:hAnsi="Calibri"/>
                <w:b w:val="0"/>
                <w:color w:val="1A1A1A"/>
                <w:sz w:val="17"/>
              </w:rPr>
              <w:t>External nares (C)</w:t>
            </w:r>
          </w:p>
        </w:tc>
        <w:tc>
          <w:tcPr>
            <w:tcW w:type="dxa" w:w="3118"/>
            <w:shd w:val="clear" w:color="auto" w:fill="FFFFFF"/>
          </w:tcPr>
          <w:p>
            <w:r>
              <w:rPr>
                <w:rFonts w:ascii="Calibri" w:hAnsi="Calibri"/>
                <w:b w:val="0"/>
                <w:color w:val="1A1A1A"/>
                <w:sz w:val="17"/>
              </w:rPr>
              <w:t>Well above orbit; placed higher; lateral edge slopes down</w:t>
            </w:r>
          </w:p>
        </w:tc>
        <w:tc>
          <w:tcPr>
            <w:tcW w:type="dxa" w:w="3118"/>
            <w:shd w:val="clear" w:color="auto" w:fill="FFFFFF"/>
          </w:tcPr>
          <w:p>
            <w:r>
              <w:rPr>
                <w:rFonts w:ascii="Calibri" w:hAnsi="Calibri"/>
                <w:b w:val="0"/>
                <w:color w:val="1A1A1A"/>
                <w:sz w:val="17"/>
              </w:rPr>
              <w:t>Dumb-bell shape</w:t>
            </w:r>
          </w:p>
        </w:tc>
      </w:tr>
      <w:tr>
        <w:tc>
          <w:tcPr>
            <w:tcW w:type="dxa" w:w="2835"/>
            <w:shd w:val="clear" w:color="auto" w:fill="EAF7EE"/>
          </w:tcPr>
          <w:p>
            <w:r>
              <w:rPr>
                <w:rFonts w:ascii="Calibri" w:hAnsi="Calibri"/>
                <w:b w:val="0"/>
                <w:color w:val="1A1A1A"/>
                <w:sz w:val="17"/>
              </w:rPr>
              <w:t>Incisive fossa (D)</w:t>
            </w:r>
          </w:p>
        </w:tc>
        <w:tc>
          <w:tcPr>
            <w:tcW w:type="dxa" w:w="3118"/>
            <w:shd w:val="clear" w:color="auto" w:fill="EAF7EE"/>
          </w:tcPr>
          <w:p>
            <w:r>
              <w:rPr>
                <w:rFonts w:ascii="Calibri" w:hAnsi="Calibri"/>
                <w:b w:val="0"/>
                <w:color w:val="1A1A1A"/>
                <w:sz w:val="17"/>
              </w:rPr>
              <w:t>Deep and narrow; "Scooped out" below inferior nares border</w:t>
            </w:r>
          </w:p>
        </w:tc>
        <w:tc>
          <w:tcPr>
            <w:tcW w:type="dxa" w:w="3118"/>
            <w:shd w:val="clear" w:color="auto" w:fill="EAF7EE"/>
          </w:tcPr>
          <w:p>
            <w:r>
              <w:rPr>
                <w:rFonts w:ascii="Calibri" w:hAnsi="Calibri"/>
                <w:b w:val="0"/>
                <w:color w:val="1A1A1A"/>
                <w:sz w:val="17"/>
              </w:rPr>
              <w:t>Inferior border slopes gently into fossa</w:t>
            </w:r>
          </w:p>
        </w:tc>
      </w:tr>
      <w:tr>
        <w:tc>
          <w:tcPr>
            <w:tcW w:type="dxa" w:w="2835"/>
            <w:shd w:val="clear" w:color="auto" w:fill="FFFFFF"/>
          </w:tcPr>
          <w:p>
            <w:r>
              <w:rPr>
                <w:rFonts w:ascii="Calibri" w:hAnsi="Calibri"/>
                <w:b w:val="0"/>
                <w:color w:val="1A1A1A"/>
                <w:sz w:val="17"/>
              </w:rPr>
              <w:t>Tusk alveoli (E)</w:t>
            </w:r>
          </w:p>
        </w:tc>
        <w:tc>
          <w:tcPr>
            <w:tcW w:type="dxa" w:w="3118"/>
            <w:shd w:val="clear" w:color="auto" w:fill="FFFFFF"/>
          </w:tcPr>
          <w:p>
            <w:r>
              <w:rPr>
                <w:rFonts w:ascii="Calibri" w:hAnsi="Calibri"/>
                <w:b w:val="0"/>
                <w:color w:val="1A1A1A"/>
                <w:sz w:val="17"/>
              </w:rPr>
              <w:t>Larger and stouter; incisors larger (may be reduced in makhna)</w:t>
            </w:r>
          </w:p>
        </w:tc>
        <w:tc>
          <w:tcPr>
            <w:tcW w:type="dxa" w:w="3118"/>
            <w:shd w:val="clear" w:color="auto" w:fill="FFFFFF"/>
          </w:tcPr>
          <w:p>
            <w:r>
              <w:rPr>
                <w:rFonts w:ascii="Calibri" w:hAnsi="Calibri"/>
                <w:b w:val="0"/>
                <w:color w:val="1A1A1A"/>
                <w:sz w:val="17"/>
              </w:rPr>
              <w:t>Tusk often absent or with reduced alveoli</w:t>
            </w:r>
          </w:p>
        </w:tc>
      </w:tr>
    </w:tbl>
    <w:p>
      <w:pPr>
        <w:spacing w:after="40"/>
      </w:pPr>
    </w:p>
    <w:p>
      <w:pPr>
        <w:pStyle w:val="Heading2"/>
        <w:spacing w:before="80" w:after="40"/>
      </w:pPr>
      <w:r>
        <w:t>6.3  Sexual Dimorphism — Lateral View</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6.3  Sexual Dimorphism — Lateral View</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 (Lateral view)</w:t>
            </w:r>
          </w:p>
        </w:tc>
        <w:tc>
          <w:tcPr>
            <w:tcW w:type="dxa" w:w="3118"/>
            <w:shd w:val="clear" w:color="auto" w:fill="2D6A4F"/>
          </w:tcPr>
          <w:p>
            <w:pPr>
              <w:jc w:val="center"/>
            </w:pPr>
            <w:r>
              <w:rPr>
                <w:rFonts w:ascii="Calibri" w:hAnsi="Calibri"/>
                <w:b/>
                <w:color w:val="FFFFFF"/>
                <w:sz w:val="17"/>
              </w:rPr>
              <w:t>Male Skull</w:t>
            </w:r>
          </w:p>
        </w:tc>
        <w:tc>
          <w:tcPr>
            <w:tcW w:type="dxa" w:w="3118"/>
            <w:shd w:val="clear" w:color="auto" w:fill="2D6A4F"/>
          </w:tcPr>
          <w:p>
            <w:pPr>
              <w:jc w:val="center"/>
            </w:pPr>
            <w:r>
              <w:rPr>
                <w:rFonts w:ascii="Calibri" w:hAnsi="Calibri"/>
                <w:b/>
                <w:color w:val="FFFFFF"/>
                <w:sz w:val="17"/>
              </w:rPr>
              <w:t>Female Skull</w:t>
            </w:r>
          </w:p>
        </w:tc>
      </w:tr>
      <w:tr>
        <w:tc>
          <w:tcPr>
            <w:tcW w:type="dxa" w:w="2835"/>
            <w:shd w:val="clear" w:color="auto" w:fill="FFFFFF"/>
          </w:tcPr>
          <w:p>
            <w:r>
              <w:rPr>
                <w:rFonts w:ascii="Calibri" w:hAnsi="Calibri"/>
                <w:b w:val="0"/>
                <w:color w:val="1A1A1A"/>
                <w:sz w:val="17"/>
              </w:rPr>
              <w:t>Frontal (F)</w:t>
            </w:r>
          </w:p>
        </w:tc>
        <w:tc>
          <w:tcPr>
            <w:tcW w:type="dxa" w:w="3118"/>
            <w:shd w:val="clear" w:color="auto" w:fill="FFFFFF"/>
          </w:tcPr>
          <w:p>
            <w:r>
              <w:rPr>
                <w:rFonts w:ascii="Calibri" w:hAnsi="Calibri"/>
                <w:b w:val="0"/>
                <w:color w:val="1A1A1A"/>
                <w:sz w:val="17"/>
              </w:rPr>
              <w:t>Slightly concave forehead</w:t>
            </w:r>
          </w:p>
        </w:tc>
        <w:tc>
          <w:tcPr>
            <w:tcW w:type="dxa" w:w="3118"/>
            <w:shd w:val="clear" w:color="auto" w:fill="FFFFFF"/>
          </w:tcPr>
          <w:p>
            <w:r>
              <w:rPr>
                <w:rFonts w:ascii="Calibri" w:hAnsi="Calibri"/>
                <w:b w:val="0"/>
                <w:color w:val="1A1A1A"/>
                <w:sz w:val="17"/>
              </w:rPr>
              <w:t>Rounded forehead</w:t>
            </w:r>
          </w:p>
        </w:tc>
      </w:tr>
      <w:tr>
        <w:tc>
          <w:tcPr>
            <w:tcW w:type="dxa" w:w="2835"/>
            <w:shd w:val="clear" w:color="auto" w:fill="EAF7EE"/>
          </w:tcPr>
          <w:p>
            <w:r>
              <w:rPr>
                <w:rFonts w:ascii="Calibri" w:hAnsi="Calibri"/>
                <w:b w:val="0"/>
                <w:color w:val="1A1A1A"/>
                <w:sz w:val="17"/>
              </w:rPr>
              <w:t>Temporal line / postero-medial wall (G)</w:t>
            </w:r>
          </w:p>
        </w:tc>
        <w:tc>
          <w:tcPr>
            <w:tcW w:type="dxa" w:w="3118"/>
            <w:shd w:val="clear" w:color="auto" w:fill="EAF7EE"/>
          </w:tcPr>
          <w:p>
            <w:r>
              <w:rPr>
                <w:rFonts w:ascii="Calibri" w:hAnsi="Calibri"/>
                <w:b w:val="0"/>
                <w:color w:val="1A1A1A"/>
                <w:sz w:val="17"/>
              </w:rPr>
              <w:t>Present with robust muscle attachment</w:t>
            </w:r>
          </w:p>
        </w:tc>
        <w:tc>
          <w:tcPr>
            <w:tcW w:type="dxa" w:w="3118"/>
            <w:shd w:val="clear" w:color="auto" w:fill="EAF7EE"/>
          </w:tcPr>
          <w:p>
            <w:r>
              <w:rPr>
                <w:rFonts w:ascii="Calibri" w:hAnsi="Calibri"/>
                <w:b w:val="0"/>
                <w:color w:val="1A1A1A"/>
                <w:sz w:val="17"/>
              </w:rPr>
              <w:t>Smooth and not so pronounced</w:t>
            </w:r>
          </w:p>
        </w:tc>
      </w:tr>
      <w:tr>
        <w:tc>
          <w:tcPr>
            <w:tcW w:type="dxa" w:w="2835"/>
            <w:shd w:val="clear" w:color="auto" w:fill="FFFFFF"/>
          </w:tcPr>
          <w:p>
            <w:r>
              <w:rPr>
                <w:rFonts w:ascii="Calibri" w:hAnsi="Calibri"/>
                <w:b w:val="0"/>
                <w:color w:val="1A1A1A"/>
                <w:sz w:val="17"/>
              </w:rPr>
              <w:t>Premaxillaries (H)</w:t>
            </w:r>
          </w:p>
        </w:tc>
        <w:tc>
          <w:tcPr>
            <w:tcW w:type="dxa" w:w="3118"/>
            <w:shd w:val="clear" w:color="auto" w:fill="FFFFFF"/>
          </w:tcPr>
          <w:p>
            <w:r>
              <w:rPr>
                <w:rFonts w:ascii="Calibri" w:hAnsi="Calibri"/>
                <w:b w:val="0"/>
                <w:color w:val="1A1A1A"/>
                <w:sz w:val="17"/>
              </w:rPr>
              <w:t>Large</w:t>
            </w:r>
          </w:p>
        </w:tc>
        <w:tc>
          <w:tcPr>
            <w:tcW w:type="dxa" w:w="3118"/>
            <w:shd w:val="clear" w:color="auto" w:fill="FFFFFF"/>
          </w:tcPr>
          <w:p>
            <w:r>
              <w:rPr>
                <w:rFonts w:ascii="Calibri" w:hAnsi="Calibri"/>
                <w:b w:val="0"/>
                <w:color w:val="1A1A1A"/>
                <w:sz w:val="17"/>
              </w:rPr>
              <w:t>Smaller</w:t>
            </w:r>
          </w:p>
        </w:tc>
      </w:tr>
      <w:tr>
        <w:tc>
          <w:tcPr>
            <w:tcW w:type="dxa" w:w="2835"/>
            <w:shd w:val="clear" w:color="auto" w:fill="EAF7EE"/>
          </w:tcPr>
          <w:p>
            <w:r>
              <w:rPr>
                <w:rFonts w:ascii="Calibri" w:hAnsi="Calibri"/>
                <w:b w:val="0"/>
                <w:color w:val="1A1A1A"/>
                <w:sz w:val="17"/>
              </w:rPr>
              <w:t>Parieto-occipital region (I)</w:t>
            </w:r>
          </w:p>
        </w:tc>
        <w:tc>
          <w:tcPr>
            <w:tcW w:type="dxa" w:w="3118"/>
            <w:shd w:val="clear" w:color="auto" w:fill="EAF7EE"/>
          </w:tcPr>
          <w:p>
            <w:r>
              <w:rPr>
                <w:rFonts w:ascii="Calibri" w:hAnsi="Calibri"/>
                <w:b w:val="0"/>
                <w:color w:val="1A1A1A"/>
                <w:sz w:val="17"/>
              </w:rPr>
              <w:t>Large, swollen bosses</w:t>
            </w:r>
          </w:p>
        </w:tc>
        <w:tc>
          <w:tcPr>
            <w:tcW w:type="dxa" w:w="3118"/>
            <w:shd w:val="clear" w:color="auto" w:fill="EAF7EE"/>
          </w:tcPr>
          <w:p>
            <w:r>
              <w:rPr>
                <w:rFonts w:ascii="Calibri" w:hAnsi="Calibri"/>
                <w:b w:val="0"/>
                <w:color w:val="1A1A1A"/>
                <w:sz w:val="17"/>
              </w:rPr>
              <w:t>Rounded</w:t>
            </w:r>
          </w:p>
        </w:tc>
      </w:tr>
      <w:tr>
        <w:tc>
          <w:tcPr>
            <w:tcW w:type="dxa" w:w="2835"/>
            <w:shd w:val="clear" w:color="auto" w:fill="FFFFFF"/>
          </w:tcPr>
          <w:p>
            <w:r>
              <w:rPr>
                <w:rFonts w:ascii="Calibri" w:hAnsi="Calibri"/>
                <w:b w:val="0"/>
                <w:color w:val="1A1A1A"/>
                <w:sz w:val="17"/>
              </w:rPr>
              <w:t>Mandible chin (symphysis)</w:t>
            </w:r>
          </w:p>
        </w:tc>
        <w:tc>
          <w:tcPr>
            <w:tcW w:type="dxa" w:w="3118"/>
            <w:shd w:val="clear" w:color="auto" w:fill="FFFFFF"/>
          </w:tcPr>
          <w:p>
            <w:r>
              <w:rPr>
                <w:rFonts w:ascii="Calibri" w:hAnsi="Calibri"/>
                <w:b w:val="0"/>
                <w:color w:val="1A1A1A"/>
                <w:sz w:val="17"/>
              </w:rPr>
              <w:t>Elongated, dropped downwards; thick and broad</w:t>
            </w:r>
          </w:p>
        </w:tc>
        <w:tc>
          <w:tcPr>
            <w:tcW w:type="dxa" w:w="3118"/>
            <w:shd w:val="clear" w:color="auto" w:fill="FFFFFF"/>
          </w:tcPr>
          <w:p>
            <w:r>
              <w:rPr>
                <w:rFonts w:ascii="Calibri" w:hAnsi="Calibri"/>
                <w:b w:val="0"/>
                <w:color w:val="1A1A1A"/>
                <w:sz w:val="17"/>
              </w:rPr>
              <w:t>Thin, short and pointed</w:t>
            </w:r>
          </w:p>
        </w:tc>
      </w:tr>
    </w:tbl>
    <w:p>
      <w:pPr>
        <w:spacing w:after="40"/>
      </w:pPr>
    </w:p>
    <w:p>
      <w:pPr>
        <w:pStyle w:val="Heading2"/>
        <w:spacing w:before="80" w:after="40"/>
      </w:pPr>
      <w:r>
        <w:t>6.4  Other Measurements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6.4  Other Measurements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969"/>
            <w:shd w:val="clear" w:color="auto" w:fill="2D6A4F"/>
          </w:tcPr>
          <w:p>
            <w:pPr>
              <w:jc w:val="center"/>
            </w:pPr>
            <w:r>
              <w:rPr>
                <w:rFonts w:ascii="Calibri" w:hAnsi="Calibri"/>
                <w:b/>
                <w:color w:val="FFFFFF"/>
                <w:sz w:val="17"/>
              </w:rPr>
              <w:t>Measurement</w:t>
            </w:r>
          </w:p>
        </w:tc>
        <w:tc>
          <w:tcPr>
            <w:tcW w:type="dxa" w:w="2835"/>
            <w:shd w:val="clear" w:color="auto" w:fill="2D6A4F"/>
          </w:tcPr>
          <w:p>
            <w:pPr>
              <w:jc w:val="center"/>
            </w:pPr>
            <w:r>
              <w:rPr>
                <w:rFonts w:ascii="Calibri" w:hAnsi="Calibri"/>
                <w:b/>
                <w:color w:val="FFFFFF"/>
                <w:sz w:val="17"/>
              </w:rPr>
              <w:t>Male</w:t>
            </w:r>
          </w:p>
        </w:tc>
        <w:tc>
          <w:tcPr>
            <w:tcW w:type="dxa" w:w="2551"/>
            <w:shd w:val="clear" w:color="auto" w:fill="2D6A4F"/>
          </w:tcPr>
          <w:p>
            <w:pPr>
              <w:jc w:val="center"/>
            </w:pPr>
            <w:r>
              <w:rPr>
                <w:rFonts w:ascii="Calibri" w:hAnsi="Calibri"/>
                <w:b/>
                <w:color w:val="FFFFFF"/>
                <w:sz w:val="17"/>
              </w:rPr>
              <w:t>Female</w:t>
            </w:r>
          </w:p>
        </w:tc>
      </w:tr>
      <w:tr>
        <w:tc>
          <w:tcPr>
            <w:tcW w:type="dxa" w:w="3969"/>
            <w:shd w:val="clear" w:color="auto" w:fill="FFFFFF"/>
          </w:tcPr>
          <w:p>
            <w:r>
              <w:rPr>
                <w:rFonts w:ascii="Calibri" w:hAnsi="Calibri"/>
                <w:b w:val="0"/>
                <w:color w:val="1A1A1A"/>
                <w:sz w:val="17"/>
              </w:rPr>
              <w:t>Ratio of occipital length to forehead length</w:t>
            </w:r>
          </w:p>
        </w:tc>
        <w:tc>
          <w:tcPr>
            <w:tcW w:type="dxa" w:w="2835"/>
            <w:shd w:val="clear" w:color="auto" w:fill="FFFFFF"/>
          </w:tcPr>
          <w:p>
            <w:r>
              <w:rPr>
                <w:rFonts w:ascii="Calibri" w:hAnsi="Calibri"/>
                <w:b w:val="0"/>
                <w:color w:val="1A1A1A"/>
                <w:sz w:val="17"/>
              </w:rPr>
              <w:t>Greater than female; around 1.5–1.65</w:t>
            </w:r>
          </w:p>
        </w:tc>
        <w:tc>
          <w:tcPr>
            <w:tcW w:type="dxa" w:w="2551"/>
            <w:shd w:val="clear" w:color="auto" w:fill="FFFFFF"/>
          </w:tcPr>
          <w:p>
            <w:r>
              <w:rPr>
                <w:rFonts w:ascii="Calibri" w:hAnsi="Calibri"/>
                <w:b w:val="0"/>
                <w:color w:val="1A1A1A"/>
                <w:sz w:val="17"/>
              </w:rPr>
              <w:t>Almost equal</w:t>
            </w:r>
          </w:p>
        </w:tc>
      </w:tr>
      <w:tr>
        <w:tc>
          <w:tcPr>
            <w:tcW w:type="dxa" w:w="3969"/>
            <w:shd w:val="clear" w:color="auto" w:fill="EAF7EE"/>
          </w:tcPr>
          <w:p>
            <w:r>
              <w:rPr>
                <w:rFonts w:ascii="Calibri" w:hAnsi="Calibri"/>
                <w:b w:val="0"/>
                <w:color w:val="1A1A1A"/>
                <w:sz w:val="17"/>
              </w:rPr>
              <w:t>Ratio of forehead length to head length</w:t>
            </w:r>
          </w:p>
        </w:tc>
        <w:tc>
          <w:tcPr>
            <w:tcW w:type="dxa" w:w="2835"/>
            <w:shd w:val="clear" w:color="auto" w:fill="EAF7EE"/>
          </w:tcPr>
          <w:p>
            <w:r>
              <w:rPr>
                <w:rFonts w:ascii="Calibri" w:hAnsi="Calibri"/>
                <w:b w:val="0"/>
                <w:color w:val="1A1A1A"/>
                <w:sz w:val="17"/>
              </w:rPr>
              <w:t>Less than half head length</w:t>
            </w:r>
          </w:p>
        </w:tc>
        <w:tc>
          <w:tcPr>
            <w:tcW w:type="dxa" w:w="2551"/>
            <w:shd w:val="clear" w:color="auto" w:fill="EAF7EE"/>
          </w:tcPr>
          <w:p>
            <w:r>
              <w:rPr>
                <w:rFonts w:ascii="Calibri" w:hAnsi="Calibri"/>
                <w:b w:val="0"/>
                <w:color w:val="1A1A1A"/>
                <w:sz w:val="17"/>
              </w:rPr>
              <w:t>Greater than half head length</w:t>
            </w:r>
          </w:p>
        </w:tc>
      </w:tr>
    </w:tbl>
    <w:p>
      <w:pPr>
        <w:spacing w:after="40"/>
      </w:pPr>
    </w:p>
    <w:p>
      <w:pPr>
        <w:pStyle w:val="Heading2"/>
        <w:spacing w:before="80" w:after="40"/>
      </w:pPr>
      <w:r>
        <w:t>6.5  Age-Dependency of Sexual Dimorphism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6.5  Age-Dependency of Sexual Dimorphism</w:t>
            </w:r>
          </w:p>
        </w:tc>
      </w:tr>
    </w:tbl>
    <w:p>
      <w:pPr>
        <w:spacing w:after="40"/>
      </w:pPr>
    </w:p>
    <w:p>
      <w:pPr>
        <w:spacing w:after="40"/>
        <w:ind w:left="283" w:hanging="170"/>
      </w:pPr>
      <w:r>
        <w:rPr>
          <w:rFonts w:ascii="Calibri" w:hAnsi="Calibri"/>
          <w:color w:val="1A1A1A"/>
          <w:sz w:val="19"/>
        </w:rPr>
        <w:t>•  Skull sexual dimorphism is age-dependent — during first two years of life, male and female skulls are nearly identical</w:t>
      </w:r>
    </w:p>
    <w:p>
      <w:pPr>
        <w:spacing w:after="40"/>
        <w:ind w:left="283" w:hanging="170"/>
      </w:pPr>
      <w:r>
        <w:rPr>
          <w:rFonts w:ascii="Calibri" w:hAnsi="Calibri"/>
          <w:color w:val="1A1A1A"/>
          <w:sz w:val="19"/>
        </w:rPr>
        <w:t>•  Differences become progressively more pronounced with age as males develop robust tusk alveoli, temporal muscle attachments, and occipital bosses</w:t>
      </w:r>
    </w:p>
    <w:p>
      <w:pPr>
        <w:spacing w:after="40"/>
        <w:ind w:left="283" w:hanging="170"/>
      </w:pPr>
      <w:r>
        <w:rPr>
          <w:rFonts w:ascii="Calibri" w:hAnsi="Calibri"/>
          <w:color w:val="1A1A1A"/>
          <w:sz w:val="19"/>
        </w:rPr>
        <w:t>•  Recent research (2024, PMC) found that pelvic bone shows the GREATEST sexual dimorphism, not skull — especially in overall pelvic girdle length and pubic symphysis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PRACTICAL: Skull morphology allows definitive sex determination from a carcass even when ALL soft tissues are absent — critical for mortality investigation reports where body is decomposed.</w:t>
            </w:r>
          </w:p>
        </w:tc>
      </w:tr>
    </w:tbl>
    <w:p>
      <w:pPr>
        <w:spacing w:after="40"/>
      </w:pPr>
    </w:p>
    <w:p/>
    <w:p>
      <w:pPr>
        <w:spacing w:before="0" w:after="0"/>
      </w:pPr>
      <w:r>
        <w:br w:type="page"/>
      </w:r>
    </w:p>
    <w:p>
      <w:pPr>
        <w:pStyle w:val="Heading1"/>
        <w:spacing w:before="160" w:after="40"/>
      </w:pPr>
      <w:r>
        <w:t>7.  Age Estimation — Molar Progression</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7.  Age Estimation — Molar Progression</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4" name="Picture 14"/>
            <wp:cNvGraphicFramePr>
              <a:graphicFrameLocks noChangeAspect="1"/>
            </wp:cNvGraphicFramePr>
            <a:graphic>
              <a:graphicData uri="http://schemas.openxmlformats.org/drawingml/2006/picture">
                <pic:pic>
                  <pic:nvPicPr>
                    <pic:cNvPr id="0" name="slide_14.png"/>
                    <pic:cNvPicPr/>
                  </pic:nvPicPr>
                  <pic:blipFill>
                    <a:blip r:embed="rId22"/>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14 — Molar table for assessing age with skull cross-section</w:t>
      </w:r>
    </w:p>
    <w:p>
      <w:pPr>
        <w:pStyle w:val="Heading2"/>
        <w:spacing w:before="80" w:after="40"/>
      </w:pPr>
      <w:r>
        <w:t>7.1  Unique Horizontal Molar Replacement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7.1  Unique Horizontal Molar Replacement</w:t>
            </w:r>
          </w:p>
        </w:tc>
      </w:tr>
    </w:tbl>
    <w:p>
      <w:pPr>
        <w:spacing w:after="40"/>
      </w:pPr>
    </w:p>
    <w:p>
      <w:pPr>
        <w:spacing w:after="100"/>
        <w:jc w:val="left"/>
      </w:pPr>
      <w:r>
        <w:rPr>
          <w:rFonts w:ascii="Calibri" w:hAnsi="Calibri"/>
          <w:b w:val="0"/>
          <w:i w:val="0"/>
          <w:color w:val="1A1A1A"/>
          <w:sz w:val="19"/>
        </w:rPr>
        <w:t>Elephants possess the most unusual dental replacement mechanism among all mammals — horizontal molar progression. Unlike vertical tooth replacement seen in all other mammals, elephant molars develop at the BACK of the jaw and progressively move FORWARD (anteriorly) as each preceding molar wears down. The worn tooth fragments drop off from the front of the jaw as the new tooth pushes it out from behind.</w:t>
      </w:r>
    </w:p>
    <w:p>
      <w:pPr>
        <w:spacing w:after="40"/>
        <w:ind w:left="283" w:hanging="170"/>
      </w:pPr>
      <w:r>
        <w:rPr>
          <w:rFonts w:ascii="Calibri" w:hAnsi="Calibri"/>
          <w:color w:val="1A1A1A"/>
          <w:sz w:val="19"/>
        </w:rPr>
        <w:t>•  Six molar sets (M1–M6) develop on each side of the upper AND lower jaw (24 molars total)</w:t>
      </w:r>
    </w:p>
    <w:p>
      <w:pPr>
        <w:spacing w:after="40"/>
        <w:ind w:left="283" w:hanging="170"/>
      </w:pPr>
      <w:r>
        <w:rPr>
          <w:rFonts w:ascii="Calibri" w:hAnsi="Calibri"/>
          <w:color w:val="1A1A1A"/>
          <w:sz w:val="19"/>
        </w:rPr>
        <w:t>•  Maximum of 2 molars in wear simultaneously in any one half of the jaw at any given time</w:t>
      </w:r>
    </w:p>
    <w:p>
      <w:pPr>
        <w:spacing w:after="40"/>
        <w:ind w:left="283" w:hanging="170"/>
      </w:pPr>
      <w:r>
        <w:rPr>
          <w:rFonts w:ascii="Calibri" w:hAnsi="Calibri"/>
          <w:color w:val="1A1A1A"/>
          <w:sz w:val="19"/>
        </w:rPr>
        <w:t>•  Each succeeding molar set is LARGER and has MORE plates (lamellae) than the preceding one</w:t>
      </w:r>
    </w:p>
    <w:p>
      <w:pPr>
        <w:spacing w:after="40"/>
        <w:ind w:left="283" w:hanging="170"/>
      </w:pPr>
      <w:r>
        <w:rPr>
          <w:rFonts w:ascii="Calibri" w:hAnsi="Calibri"/>
          <w:color w:val="1A1A1A"/>
          <w:sz w:val="19"/>
        </w:rPr>
        <w:t>•  The number of enamel plates (lamellae) on each molar is the key identification feature</w:t>
      </w:r>
    </w:p>
    <w:p>
      <w:pPr>
        <w:pStyle w:val="Heading2"/>
        <w:spacing w:before="80" w:after="40"/>
      </w:pPr>
      <w:r>
        <w:t>7.2  Molar Identification &amp; Age Table (Asian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7.2  Molar Identification &amp; Age Table (Asian Elephant)</w:t>
            </w:r>
          </w:p>
        </w:tc>
      </w:tr>
    </w:tbl>
    <w:p>
      <w:pPr>
        <w:spacing w:after="40"/>
      </w:pP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850"/>
            <w:shd w:val="clear" w:color="auto" w:fill="2D6A4F"/>
          </w:tcPr>
          <w:p>
            <w:pPr>
              <w:jc w:val="center"/>
            </w:pPr>
            <w:r>
              <w:rPr>
                <w:rFonts w:ascii="Calibri" w:hAnsi="Calibri"/>
                <w:b/>
                <w:color w:val="FFFFFF"/>
                <w:sz w:val="17"/>
              </w:rPr>
              <w:t>Molar</w:t>
            </w:r>
          </w:p>
        </w:tc>
        <w:tc>
          <w:tcPr>
            <w:tcW w:type="dxa" w:w="1701"/>
            <w:shd w:val="clear" w:color="auto" w:fill="2D6A4F"/>
          </w:tcPr>
          <w:p>
            <w:pPr>
              <w:jc w:val="center"/>
            </w:pPr>
            <w:r>
              <w:rPr>
                <w:rFonts w:ascii="Calibri" w:hAnsi="Calibri"/>
                <w:b/>
                <w:color w:val="FFFFFF"/>
                <w:sz w:val="17"/>
              </w:rPr>
              <w:t>No. of Enamel Plates</w:t>
            </w:r>
          </w:p>
        </w:tc>
        <w:tc>
          <w:tcPr>
            <w:tcW w:type="dxa" w:w="1701"/>
            <w:shd w:val="clear" w:color="auto" w:fill="2D6A4F"/>
          </w:tcPr>
          <w:p>
            <w:pPr>
              <w:jc w:val="center"/>
            </w:pPr>
            <w:r>
              <w:rPr>
                <w:rFonts w:ascii="Calibri" w:hAnsi="Calibri"/>
                <w:b/>
                <w:color w:val="FFFFFF"/>
                <w:sz w:val="17"/>
              </w:rPr>
              <w:t>Appearance Age</w:t>
            </w:r>
          </w:p>
        </w:tc>
        <w:tc>
          <w:tcPr>
            <w:tcW w:type="dxa" w:w="1984"/>
            <w:shd w:val="clear" w:color="auto" w:fill="2D6A4F"/>
          </w:tcPr>
          <w:p>
            <w:pPr>
              <w:jc w:val="center"/>
            </w:pPr>
            <w:r>
              <w:rPr>
                <w:rFonts w:ascii="Calibri" w:hAnsi="Calibri"/>
                <w:b/>
                <w:color w:val="FFFFFF"/>
                <w:sz w:val="17"/>
              </w:rPr>
              <w:t>Replacement Age</w:t>
            </w:r>
          </w:p>
        </w:tc>
        <w:tc>
          <w:tcPr>
            <w:tcW w:type="dxa" w:w="3118"/>
            <w:shd w:val="clear" w:color="auto" w:fill="2D6A4F"/>
          </w:tcPr>
          <w:p>
            <w:pPr>
              <w:jc w:val="center"/>
            </w:pPr>
            <w:r>
              <w:rPr>
                <w:rFonts w:ascii="Calibri" w:hAnsi="Calibri"/>
                <w:b/>
                <w:color w:val="FFFFFF"/>
                <w:sz w:val="17"/>
              </w:rPr>
              <w:t>Notes</w:t>
            </w:r>
          </w:p>
        </w:tc>
      </w:tr>
      <w:tr>
        <w:tc>
          <w:tcPr>
            <w:tcW w:type="dxa" w:w="850"/>
            <w:shd w:val="clear" w:color="auto" w:fill="FFFFFF"/>
          </w:tcPr>
          <w:p>
            <w:r>
              <w:rPr>
                <w:rFonts w:ascii="Calibri" w:hAnsi="Calibri"/>
                <w:b w:val="0"/>
                <w:color w:val="1A1A1A"/>
                <w:sz w:val="17"/>
              </w:rPr>
              <w:t>M1</w:t>
            </w:r>
          </w:p>
        </w:tc>
        <w:tc>
          <w:tcPr>
            <w:tcW w:type="dxa" w:w="1701"/>
            <w:shd w:val="clear" w:color="auto" w:fill="FFFFFF"/>
          </w:tcPr>
          <w:p>
            <w:r>
              <w:rPr>
                <w:rFonts w:ascii="Calibri" w:hAnsi="Calibri"/>
                <w:b w:val="0"/>
                <w:color w:val="1A1A1A"/>
                <w:sz w:val="17"/>
              </w:rPr>
              <w:t>4</w:t>
            </w:r>
          </w:p>
        </w:tc>
        <w:tc>
          <w:tcPr>
            <w:tcW w:type="dxa" w:w="1701"/>
            <w:shd w:val="clear" w:color="auto" w:fill="FFFFFF"/>
          </w:tcPr>
          <w:p>
            <w:r>
              <w:rPr>
                <w:rFonts w:ascii="Calibri" w:hAnsi="Calibri"/>
                <w:b w:val="0"/>
                <w:color w:val="1A1A1A"/>
                <w:sz w:val="17"/>
              </w:rPr>
              <w:t>4 months</w:t>
            </w:r>
          </w:p>
        </w:tc>
        <w:tc>
          <w:tcPr>
            <w:tcW w:type="dxa" w:w="1984"/>
            <w:shd w:val="clear" w:color="auto" w:fill="FFFFFF"/>
          </w:tcPr>
          <w:p>
            <w:r>
              <w:rPr>
                <w:rFonts w:ascii="Calibri" w:hAnsi="Calibri"/>
                <w:b w:val="0"/>
                <w:color w:val="1A1A1A"/>
                <w:sz w:val="17"/>
              </w:rPr>
              <w:t>2–2.5 years</w:t>
            </w:r>
          </w:p>
        </w:tc>
        <w:tc>
          <w:tcPr>
            <w:tcW w:type="dxa" w:w="3118"/>
            <w:shd w:val="clear" w:color="auto" w:fill="FFFFFF"/>
          </w:tcPr>
          <w:p>
            <w:r>
              <w:rPr>
                <w:rFonts w:ascii="Calibri" w:hAnsi="Calibri"/>
                <w:b w:val="0"/>
                <w:color w:val="1A1A1A"/>
                <w:sz w:val="17"/>
              </w:rPr>
              <w:t>Deciduous; worn quickly</w:t>
            </w:r>
          </w:p>
        </w:tc>
      </w:tr>
      <w:tr>
        <w:tc>
          <w:tcPr>
            <w:tcW w:type="dxa" w:w="850"/>
            <w:shd w:val="clear" w:color="auto" w:fill="EAF7EE"/>
          </w:tcPr>
          <w:p>
            <w:r>
              <w:rPr>
                <w:rFonts w:ascii="Calibri" w:hAnsi="Calibri"/>
                <w:b w:val="0"/>
                <w:color w:val="1A1A1A"/>
                <w:sz w:val="17"/>
              </w:rPr>
              <w:t>M2</w:t>
            </w:r>
          </w:p>
        </w:tc>
        <w:tc>
          <w:tcPr>
            <w:tcW w:type="dxa" w:w="1701"/>
            <w:shd w:val="clear" w:color="auto" w:fill="EAF7EE"/>
          </w:tcPr>
          <w:p>
            <w:r>
              <w:rPr>
                <w:rFonts w:ascii="Calibri" w:hAnsi="Calibri"/>
                <w:b w:val="0"/>
                <w:color w:val="1A1A1A"/>
                <w:sz w:val="17"/>
              </w:rPr>
              <w:t>8</w:t>
            </w:r>
          </w:p>
        </w:tc>
        <w:tc>
          <w:tcPr>
            <w:tcW w:type="dxa" w:w="1701"/>
            <w:shd w:val="clear" w:color="auto" w:fill="EAF7EE"/>
          </w:tcPr>
          <w:p>
            <w:r>
              <w:rPr>
                <w:rFonts w:ascii="Calibri" w:hAnsi="Calibri"/>
                <w:b w:val="0"/>
                <w:color w:val="1A1A1A"/>
                <w:sz w:val="17"/>
              </w:rPr>
              <w:t>6 months</w:t>
            </w:r>
          </w:p>
        </w:tc>
        <w:tc>
          <w:tcPr>
            <w:tcW w:type="dxa" w:w="1984"/>
            <w:shd w:val="clear" w:color="auto" w:fill="EAF7EE"/>
          </w:tcPr>
          <w:p>
            <w:r>
              <w:rPr>
                <w:rFonts w:ascii="Calibri" w:hAnsi="Calibri"/>
                <w:b w:val="0"/>
                <w:color w:val="1A1A1A"/>
                <w:sz w:val="17"/>
              </w:rPr>
              <w:t>6 years</w:t>
            </w:r>
          </w:p>
        </w:tc>
        <w:tc>
          <w:tcPr>
            <w:tcW w:type="dxa" w:w="3118"/>
            <w:shd w:val="clear" w:color="auto" w:fill="EAF7EE"/>
          </w:tcPr>
          <w:p>
            <w:r>
              <w:rPr>
                <w:rFonts w:ascii="Calibri" w:hAnsi="Calibri"/>
                <w:b w:val="0"/>
                <w:color w:val="1A1A1A"/>
                <w:sz w:val="17"/>
              </w:rPr>
              <w:t>Still a milk tooth</w:t>
            </w:r>
          </w:p>
        </w:tc>
      </w:tr>
      <w:tr>
        <w:tc>
          <w:tcPr>
            <w:tcW w:type="dxa" w:w="850"/>
            <w:shd w:val="clear" w:color="auto" w:fill="FFFFFF"/>
          </w:tcPr>
          <w:p>
            <w:r>
              <w:rPr>
                <w:rFonts w:ascii="Calibri" w:hAnsi="Calibri"/>
                <w:b w:val="0"/>
                <w:color w:val="1A1A1A"/>
                <w:sz w:val="17"/>
              </w:rPr>
              <w:t>M3</w:t>
            </w:r>
          </w:p>
        </w:tc>
        <w:tc>
          <w:tcPr>
            <w:tcW w:type="dxa" w:w="1701"/>
            <w:shd w:val="clear" w:color="auto" w:fill="FFFFFF"/>
          </w:tcPr>
          <w:p>
            <w:r>
              <w:rPr>
                <w:rFonts w:ascii="Calibri" w:hAnsi="Calibri"/>
                <w:b w:val="0"/>
                <w:color w:val="1A1A1A"/>
                <w:sz w:val="17"/>
              </w:rPr>
              <w:t>12</w:t>
            </w:r>
          </w:p>
        </w:tc>
        <w:tc>
          <w:tcPr>
            <w:tcW w:type="dxa" w:w="1701"/>
            <w:shd w:val="clear" w:color="auto" w:fill="FFFFFF"/>
          </w:tcPr>
          <w:p>
            <w:r>
              <w:rPr>
                <w:rFonts w:ascii="Calibri" w:hAnsi="Calibri"/>
                <w:b w:val="0"/>
                <w:color w:val="1A1A1A"/>
                <w:sz w:val="17"/>
              </w:rPr>
              <w:t>3 years</w:t>
            </w:r>
          </w:p>
        </w:tc>
        <w:tc>
          <w:tcPr>
            <w:tcW w:type="dxa" w:w="1984"/>
            <w:shd w:val="clear" w:color="auto" w:fill="FFFFFF"/>
          </w:tcPr>
          <w:p>
            <w:r>
              <w:rPr>
                <w:rFonts w:ascii="Calibri" w:hAnsi="Calibri"/>
                <w:b w:val="0"/>
                <w:color w:val="1A1A1A"/>
                <w:sz w:val="17"/>
              </w:rPr>
              <w:t>12 years</w:t>
            </w:r>
          </w:p>
        </w:tc>
        <w:tc>
          <w:tcPr>
            <w:tcW w:type="dxa" w:w="3118"/>
            <w:shd w:val="clear" w:color="auto" w:fill="FFFFFF"/>
          </w:tcPr>
          <w:p>
            <w:r>
              <w:rPr>
                <w:rFonts w:ascii="Calibri" w:hAnsi="Calibri"/>
                <w:b w:val="0"/>
                <w:color w:val="1A1A1A"/>
                <w:sz w:val="17"/>
              </w:rPr>
              <w:t>First permanent-like molar</w:t>
            </w:r>
          </w:p>
        </w:tc>
      </w:tr>
      <w:tr>
        <w:tc>
          <w:tcPr>
            <w:tcW w:type="dxa" w:w="850"/>
            <w:shd w:val="clear" w:color="auto" w:fill="EAF7EE"/>
          </w:tcPr>
          <w:p>
            <w:r>
              <w:rPr>
                <w:rFonts w:ascii="Calibri" w:hAnsi="Calibri"/>
                <w:b w:val="0"/>
                <w:color w:val="1A1A1A"/>
                <w:sz w:val="17"/>
              </w:rPr>
              <w:t>M4</w:t>
            </w:r>
          </w:p>
        </w:tc>
        <w:tc>
          <w:tcPr>
            <w:tcW w:type="dxa" w:w="1701"/>
            <w:shd w:val="clear" w:color="auto" w:fill="EAF7EE"/>
          </w:tcPr>
          <w:p>
            <w:r>
              <w:rPr>
                <w:rFonts w:ascii="Calibri" w:hAnsi="Calibri"/>
                <w:b w:val="0"/>
                <w:color w:val="1A1A1A"/>
                <w:sz w:val="17"/>
              </w:rPr>
              <w:t>12 (wider plates)</w:t>
            </w:r>
          </w:p>
        </w:tc>
        <w:tc>
          <w:tcPr>
            <w:tcW w:type="dxa" w:w="1701"/>
            <w:shd w:val="clear" w:color="auto" w:fill="EAF7EE"/>
          </w:tcPr>
          <w:p>
            <w:r>
              <w:rPr>
                <w:rFonts w:ascii="Calibri" w:hAnsi="Calibri"/>
                <w:b w:val="0"/>
                <w:color w:val="1A1A1A"/>
                <w:sz w:val="17"/>
              </w:rPr>
              <w:t>8 years</w:t>
            </w:r>
          </w:p>
        </w:tc>
        <w:tc>
          <w:tcPr>
            <w:tcW w:type="dxa" w:w="1984"/>
            <w:shd w:val="clear" w:color="auto" w:fill="EAF7EE"/>
          </w:tcPr>
          <w:p>
            <w:r>
              <w:rPr>
                <w:rFonts w:ascii="Calibri" w:hAnsi="Calibri"/>
                <w:b w:val="0"/>
                <w:color w:val="1A1A1A"/>
                <w:sz w:val="17"/>
              </w:rPr>
              <w:t>25 years</w:t>
            </w:r>
          </w:p>
        </w:tc>
        <w:tc>
          <w:tcPr>
            <w:tcW w:type="dxa" w:w="3118"/>
            <w:shd w:val="clear" w:color="auto" w:fill="EAF7EE"/>
          </w:tcPr>
          <w:p>
            <w:r>
              <w:rPr>
                <w:rFonts w:ascii="Calibri" w:hAnsi="Calibri"/>
                <w:b w:val="0"/>
                <w:color w:val="1A1A1A"/>
                <w:sz w:val="17"/>
              </w:rPr>
              <w:t>Distinguishable by wider lamellae</w:t>
            </w:r>
          </w:p>
        </w:tc>
      </w:tr>
      <w:tr>
        <w:tc>
          <w:tcPr>
            <w:tcW w:type="dxa" w:w="850"/>
            <w:shd w:val="clear" w:color="auto" w:fill="FFFFFF"/>
          </w:tcPr>
          <w:p>
            <w:r>
              <w:rPr>
                <w:rFonts w:ascii="Calibri" w:hAnsi="Calibri"/>
                <w:b w:val="0"/>
                <w:color w:val="1A1A1A"/>
                <w:sz w:val="17"/>
              </w:rPr>
              <w:t>M5</w:t>
            </w:r>
          </w:p>
        </w:tc>
        <w:tc>
          <w:tcPr>
            <w:tcW w:type="dxa" w:w="1701"/>
            <w:shd w:val="clear" w:color="auto" w:fill="FFFFFF"/>
          </w:tcPr>
          <w:p>
            <w:r>
              <w:rPr>
                <w:rFonts w:ascii="Calibri" w:hAnsi="Calibri"/>
                <w:b w:val="0"/>
                <w:color w:val="1A1A1A"/>
                <w:sz w:val="17"/>
              </w:rPr>
              <w:t>16</w:t>
            </w:r>
          </w:p>
        </w:tc>
        <w:tc>
          <w:tcPr>
            <w:tcW w:type="dxa" w:w="1701"/>
            <w:shd w:val="clear" w:color="auto" w:fill="FFFFFF"/>
          </w:tcPr>
          <w:p>
            <w:r>
              <w:rPr>
                <w:rFonts w:ascii="Calibri" w:hAnsi="Calibri"/>
                <w:b w:val="0"/>
                <w:color w:val="1A1A1A"/>
                <w:sz w:val="17"/>
              </w:rPr>
              <w:t>20 years</w:t>
            </w:r>
          </w:p>
        </w:tc>
        <w:tc>
          <w:tcPr>
            <w:tcW w:type="dxa" w:w="1984"/>
            <w:shd w:val="clear" w:color="auto" w:fill="FFFFFF"/>
          </w:tcPr>
          <w:p>
            <w:r>
              <w:rPr>
                <w:rFonts w:ascii="Calibri" w:hAnsi="Calibri"/>
                <w:b w:val="0"/>
                <w:color w:val="1A1A1A"/>
                <w:sz w:val="17"/>
              </w:rPr>
              <w:t>50–60 years</w:t>
            </w:r>
          </w:p>
        </w:tc>
        <w:tc>
          <w:tcPr>
            <w:tcW w:type="dxa" w:w="3118"/>
            <w:shd w:val="clear" w:color="auto" w:fill="FFFFFF"/>
          </w:tcPr>
          <w:p>
            <w:r>
              <w:rPr>
                <w:rFonts w:ascii="Calibri" w:hAnsi="Calibri"/>
                <w:b w:val="0"/>
                <w:color w:val="1A1A1A"/>
                <w:sz w:val="17"/>
              </w:rPr>
              <w:t>Long wear period; most time in use</w:t>
            </w:r>
          </w:p>
        </w:tc>
      </w:tr>
      <w:tr>
        <w:tc>
          <w:tcPr>
            <w:tcW w:type="dxa" w:w="850"/>
            <w:shd w:val="clear" w:color="auto" w:fill="EAF7EE"/>
          </w:tcPr>
          <w:p>
            <w:r>
              <w:rPr>
                <w:rFonts w:ascii="Calibri" w:hAnsi="Calibri"/>
                <w:b w:val="0"/>
                <w:color w:val="1A1A1A"/>
                <w:sz w:val="17"/>
              </w:rPr>
              <w:t>M6</w:t>
            </w:r>
          </w:p>
        </w:tc>
        <w:tc>
          <w:tcPr>
            <w:tcW w:type="dxa" w:w="1701"/>
            <w:shd w:val="clear" w:color="auto" w:fill="EAF7EE"/>
          </w:tcPr>
          <w:p>
            <w:r>
              <w:rPr>
                <w:rFonts w:ascii="Calibri" w:hAnsi="Calibri"/>
                <w:b w:val="0"/>
                <w:color w:val="1A1A1A"/>
                <w:sz w:val="17"/>
              </w:rPr>
              <w:t>24</w:t>
            </w:r>
          </w:p>
        </w:tc>
        <w:tc>
          <w:tcPr>
            <w:tcW w:type="dxa" w:w="1701"/>
            <w:shd w:val="clear" w:color="auto" w:fill="EAF7EE"/>
          </w:tcPr>
          <w:p>
            <w:r>
              <w:rPr>
                <w:rFonts w:ascii="Calibri" w:hAnsi="Calibri"/>
                <w:b w:val="0"/>
                <w:color w:val="1A1A1A"/>
                <w:sz w:val="17"/>
              </w:rPr>
              <w:t>40 years</w:t>
            </w:r>
          </w:p>
        </w:tc>
        <w:tc>
          <w:tcPr>
            <w:tcW w:type="dxa" w:w="1984"/>
            <w:shd w:val="clear" w:color="auto" w:fill="EAF7EE"/>
          </w:tcPr>
          <w:p>
            <w:r>
              <w:rPr>
                <w:rFonts w:ascii="Calibri" w:hAnsi="Calibri"/>
                <w:b w:val="0"/>
                <w:color w:val="1A1A1A"/>
                <w:sz w:val="17"/>
              </w:rPr>
              <w:t>Life long (until death)</w:t>
            </w:r>
          </w:p>
        </w:tc>
        <w:tc>
          <w:tcPr>
            <w:tcW w:type="dxa" w:w="3118"/>
            <w:shd w:val="clear" w:color="auto" w:fill="EAF7EE"/>
          </w:tcPr>
          <w:p>
            <w:r>
              <w:rPr>
                <w:rFonts w:ascii="Calibri" w:hAnsi="Calibri"/>
                <w:b w:val="0"/>
                <w:color w:val="1A1A1A"/>
                <w:sz w:val="17"/>
              </w:rPr>
              <w:t>Last molar — never replaced</w:t>
            </w:r>
          </w:p>
        </w:tc>
      </w:tr>
    </w:tbl>
    <w:p>
      <w:pPr>
        <w:spacing w:after="40"/>
      </w:pPr>
    </w:p>
    <w:p>
      <w:pPr>
        <w:pStyle w:val="Heading2"/>
        <w:spacing w:before="80" w:after="40"/>
      </w:pPr>
      <w:r>
        <w:t>7.3  Forensic Age Assessment from Molars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7.3  Forensic Age Assessment from Molars</w:t>
            </w:r>
          </w:p>
        </w:tc>
      </w:tr>
    </w:tbl>
    <w:p>
      <w:pPr>
        <w:spacing w:after="40"/>
      </w:pPr>
    </w:p>
    <w:p>
      <w:pPr>
        <w:spacing w:after="40"/>
        <w:ind w:left="283" w:hanging="170"/>
      </w:pPr>
      <w:r>
        <w:rPr>
          <w:rFonts w:ascii="Calibri" w:hAnsi="Calibri"/>
          <w:color w:val="1A1A1A"/>
          <w:sz w:val="19"/>
        </w:rPr>
        <w:t>•  Examine which molar set is currently in wear in the jaw</w:t>
      </w:r>
    </w:p>
    <w:p>
      <w:pPr>
        <w:spacing w:after="40"/>
        <w:ind w:left="283" w:hanging="170"/>
      </w:pPr>
      <w:r>
        <w:rPr>
          <w:rFonts w:ascii="Calibri" w:hAnsi="Calibri"/>
          <w:color w:val="1A1A1A"/>
          <w:sz w:val="19"/>
        </w:rPr>
        <w:t>•  Count the number of enamel plates (lamellae) on the active molar</w:t>
      </w:r>
    </w:p>
    <w:p>
      <w:pPr>
        <w:spacing w:after="40"/>
        <w:ind w:left="283" w:hanging="170"/>
      </w:pPr>
      <w:r>
        <w:rPr>
          <w:rFonts w:ascii="Calibri" w:hAnsi="Calibri"/>
          <w:color w:val="1A1A1A"/>
          <w:sz w:val="19"/>
        </w:rPr>
        <w:t>•  Assess the degree of wear (front-to-back wear gradient = tilt of the occlusal surface)</w:t>
      </w:r>
    </w:p>
    <w:p>
      <w:pPr>
        <w:spacing w:after="40"/>
        <w:ind w:left="283" w:hanging="170"/>
      </w:pPr>
      <w:r>
        <w:rPr>
          <w:rFonts w:ascii="Calibri" w:hAnsi="Calibri"/>
          <w:color w:val="1A1A1A"/>
          <w:sz w:val="19"/>
        </w:rPr>
        <w:t>•  A complete (full) molar has at least 8 or more lamellae visible without frontal or rear wear</w:t>
      </w:r>
    </w:p>
    <w:p>
      <w:pPr>
        <w:spacing w:after="40"/>
        <w:ind w:left="283" w:hanging="170"/>
      </w:pPr>
      <w:r>
        <w:rPr>
          <w:rFonts w:ascii="Calibri" w:hAnsi="Calibri"/>
          <w:color w:val="1A1A1A"/>
          <w:sz w:val="19"/>
        </w:rPr>
        <w:t>•  African elephant molar timeline differs: M6 worn by ~47 years; Asian elephant M6 lasts to ~60–70 years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RULE: When M6 is completely worn down (~60–70 yrs in Asian elephants), the animal can no longer chew food efficiently → loses body condition → dies of starvation. M6 wear status is therefore the biological clock of elephant longevity. Document molar status on ALL elephant mortality forms.</w:t>
            </w:r>
          </w:p>
        </w:tc>
      </w:tr>
    </w:tbl>
    <w:p>
      <w:pPr>
        <w:spacing w:after="40"/>
      </w:pPr>
    </w:p>
    <w:p/>
    <w:p>
      <w:pPr>
        <w:spacing w:before="0" w:after="0"/>
      </w:pPr>
      <w:r>
        <w:br w:type="page"/>
      </w:r>
    </w:p>
    <w:p>
      <w:pPr>
        <w:pStyle w:val="Heading1"/>
        <w:spacing w:before="160" w:after="40"/>
      </w:pPr>
      <w:r>
        <w:t>8.  Dentition — Tusks &amp; Ivory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8.  Dentition — Tusks &amp; Ivory</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5" name="Picture 15"/>
            <wp:cNvGraphicFramePr>
              <a:graphicFrameLocks noChangeAspect="1"/>
            </wp:cNvGraphicFramePr>
            <a:graphic>
              <a:graphicData uri="http://schemas.openxmlformats.org/drawingml/2006/picture">
                <pic:pic>
                  <pic:nvPicPr>
                    <pic:cNvPr id="0" name="slide_15.png"/>
                    <pic:cNvPicPr/>
                  </pic:nvPicPr>
                  <pic:blipFill>
                    <a:blip r:embed="rId23"/>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15 — Dentition: tusks, molar cross-sections and skull position</w:t>
      </w:r>
    </w:p>
    <w:p>
      <w:pPr>
        <w:spacing w:before="80" w:after="4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slide_16.png"/>
                    <pic:cNvPicPr/>
                  </pic:nvPicPr>
                  <pic:blipFill>
                    <a:blip r:embed="rId24"/>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16 — Tusk anatomy: layered structure, pulp cavity and trimming</w:t>
      </w:r>
    </w:p>
    <w:p>
      <w:pPr>
        <w:pStyle w:val="Heading2"/>
        <w:spacing w:before="80" w:after="40"/>
      </w:pPr>
      <w:r>
        <w:t>8.1  Dental Formula</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8.1  Dental Formula</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Tooth Type</w:t>
            </w:r>
          </w:p>
        </w:tc>
        <w:tc>
          <w:tcPr>
            <w:tcW w:type="dxa" w:w="1701"/>
            <w:shd w:val="clear" w:color="auto" w:fill="2D6A4F"/>
          </w:tcPr>
          <w:p>
            <w:pPr>
              <w:jc w:val="center"/>
            </w:pPr>
            <w:r>
              <w:rPr>
                <w:rFonts w:ascii="Calibri" w:hAnsi="Calibri"/>
                <w:b/>
                <w:color w:val="FFFFFF"/>
                <w:sz w:val="17"/>
              </w:rPr>
              <w:t>Present?</w:t>
            </w:r>
          </w:p>
        </w:tc>
        <w:tc>
          <w:tcPr>
            <w:tcW w:type="dxa" w:w="5386"/>
            <w:shd w:val="clear" w:color="auto" w:fill="2D6A4F"/>
          </w:tcPr>
          <w:p>
            <w:pPr>
              <w:jc w:val="center"/>
            </w:pPr>
            <w:r>
              <w:rPr>
                <w:rFonts w:ascii="Calibri" w:hAnsi="Calibri"/>
                <w:b/>
                <w:color w:val="FFFFFF"/>
                <w:sz w:val="17"/>
              </w:rPr>
              <w:t>Detail</w:t>
            </w:r>
          </w:p>
        </w:tc>
      </w:tr>
      <w:tr>
        <w:tc>
          <w:tcPr>
            <w:tcW w:type="dxa" w:w="2268"/>
            <w:shd w:val="clear" w:color="auto" w:fill="FFFFFF"/>
          </w:tcPr>
          <w:p>
            <w:r>
              <w:rPr>
                <w:rFonts w:ascii="Calibri" w:hAnsi="Calibri"/>
                <w:b w:val="0"/>
                <w:color w:val="1A1A1A"/>
                <w:sz w:val="17"/>
              </w:rPr>
              <w:t>Incisors (upper)</w:t>
            </w:r>
          </w:p>
        </w:tc>
        <w:tc>
          <w:tcPr>
            <w:tcW w:type="dxa" w:w="1701"/>
            <w:shd w:val="clear" w:color="auto" w:fill="FFFFFF"/>
          </w:tcPr>
          <w:p>
            <w:r>
              <w:rPr>
                <w:rFonts w:ascii="Calibri" w:hAnsi="Calibri"/>
                <w:b w:val="0"/>
                <w:color w:val="1A1A1A"/>
                <w:sz w:val="17"/>
              </w:rPr>
              <w:t>YES — pair of tusks</w:t>
            </w:r>
          </w:p>
        </w:tc>
        <w:tc>
          <w:tcPr>
            <w:tcW w:type="dxa" w:w="5386"/>
            <w:shd w:val="clear" w:color="auto" w:fill="FFFFFF"/>
          </w:tcPr>
          <w:p>
            <w:r>
              <w:rPr>
                <w:rFonts w:ascii="Calibri" w:hAnsi="Calibri"/>
                <w:b w:val="0"/>
                <w:color w:val="1A1A1A"/>
                <w:sz w:val="17"/>
              </w:rPr>
              <w:t>Exaggerated upper incisors; only upper pair</w:t>
            </w:r>
          </w:p>
        </w:tc>
      </w:tr>
      <w:tr>
        <w:tc>
          <w:tcPr>
            <w:tcW w:type="dxa" w:w="2268"/>
            <w:shd w:val="clear" w:color="auto" w:fill="EAF7EE"/>
          </w:tcPr>
          <w:p>
            <w:r>
              <w:rPr>
                <w:rFonts w:ascii="Calibri" w:hAnsi="Calibri"/>
                <w:b w:val="0"/>
                <w:color w:val="1A1A1A"/>
                <w:sz w:val="17"/>
              </w:rPr>
              <w:t>Canines</w:t>
            </w:r>
          </w:p>
        </w:tc>
        <w:tc>
          <w:tcPr>
            <w:tcW w:type="dxa" w:w="1701"/>
            <w:shd w:val="clear" w:color="auto" w:fill="EAF7EE"/>
          </w:tcPr>
          <w:p>
            <w:r>
              <w:rPr>
                <w:rFonts w:ascii="Calibri" w:hAnsi="Calibri"/>
                <w:b w:val="0"/>
                <w:color w:val="1A1A1A"/>
                <w:sz w:val="17"/>
              </w:rPr>
              <w:t>NO</w:t>
            </w:r>
          </w:p>
        </w:tc>
        <w:tc>
          <w:tcPr>
            <w:tcW w:type="dxa" w:w="5386"/>
            <w:shd w:val="clear" w:color="auto" w:fill="EAF7EE"/>
          </w:tcPr>
          <w:p>
            <w:r>
              <w:rPr>
                <w:rFonts w:ascii="Calibri" w:hAnsi="Calibri"/>
                <w:b w:val="0"/>
                <w:color w:val="1A1A1A"/>
                <w:sz w:val="17"/>
              </w:rPr>
              <w:t>Absent in all proboscideans</w:t>
            </w:r>
          </w:p>
        </w:tc>
      </w:tr>
      <w:tr>
        <w:tc>
          <w:tcPr>
            <w:tcW w:type="dxa" w:w="2268"/>
            <w:shd w:val="clear" w:color="auto" w:fill="FFFFFF"/>
          </w:tcPr>
          <w:p>
            <w:r>
              <w:rPr>
                <w:rFonts w:ascii="Calibri" w:hAnsi="Calibri"/>
                <w:b w:val="0"/>
                <w:color w:val="1A1A1A"/>
                <w:sz w:val="17"/>
              </w:rPr>
              <w:t>Premolars</w:t>
            </w:r>
          </w:p>
        </w:tc>
        <w:tc>
          <w:tcPr>
            <w:tcW w:type="dxa" w:w="1701"/>
            <w:shd w:val="clear" w:color="auto" w:fill="FFFFFF"/>
          </w:tcPr>
          <w:p>
            <w:r>
              <w:rPr>
                <w:rFonts w:ascii="Calibri" w:hAnsi="Calibri"/>
                <w:b w:val="0"/>
                <w:color w:val="1A1A1A"/>
                <w:sz w:val="17"/>
              </w:rPr>
              <w:t>NO</w:t>
            </w:r>
          </w:p>
        </w:tc>
        <w:tc>
          <w:tcPr>
            <w:tcW w:type="dxa" w:w="5386"/>
            <w:shd w:val="clear" w:color="auto" w:fill="FFFFFF"/>
          </w:tcPr>
          <w:p>
            <w:r>
              <w:rPr>
                <w:rFonts w:ascii="Calibri" w:hAnsi="Calibri"/>
                <w:b w:val="0"/>
                <w:color w:val="1A1A1A"/>
                <w:sz w:val="17"/>
              </w:rPr>
              <w:t>Absent in all proboscideans</w:t>
            </w:r>
          </w:p>
        </w:tc>
      </w:tr>
      <w:tr>
        <w:tc>
          <w:tcPr>
            <w:tcW w:type="dxa" w:w="2268"/>
            <w:shd w:val="clear" w:color="auto" w:fill="EAF7EE"/>
          </w:tcPr>
          <w:p>
            <w:r>
              <w:rPr>
                <w:rFonts w:ascii="Calibri" w:hAnsi="Calibri"/>
                <w:b w:val="0"/>
                <w:color w:val="1A1A1A"/>
                <w:sz w:val="17"/>
              </w:rPr>
              <w:t>Molars</w:t>
            </w:r>
          </w:p>
        </w:tc>
        <w:tc>
          <w:tcPr>
            <w:tcW w:type="dxa" w:w="1701"/>
            <w:shd w:val="clear" w:color="auto" w:fill="EAF7EE"/>
          </w:tcPr>
          <w:p>
            <w:r>
              <w:rPr>
                <w:rFonts w:ascii="Calibri" w:hAnsi="Calibri"/>
                <w:b w:val="0"/>
                <w:color w:val="1A1A1A"/>
                <w:sz w:val="17"/>
              </w:rPr>
              <w:t>YES — 6 sets (M1–M6)</w:t>
            </w:r>
          </w:p>
        </w:tc>
        <w:tc>
          <w:tcPr>
            <w:tcW w:type="dxa" w:w="5386"/>
            <w:shd w:val="clear" w:color="auto" w:fill="EAF7EE"/>
          </w:tcPr>
          <w:p>
            <w:r>
              <w:rPr>
                <w:rFonts w:ascii="Calibri" w:hAnsi="Calibri"/>
                <w:b w:val="0"/>
                <w:color w:val="1A1A1A"/>
                <w:sz w:val="17"/>
              </w:rPr>
              <w:t>One set active at a time; progress forward horizontally</w:t>
            </w:r>
          </w:p>
        </w:tc>
      </w:tr>
    </w:tbl>
    <w:p>
      <w:pPr>
        <w:spacing w:after="40"/>
      </w:pPr>
    </w:p>
    <w:p>
      <w:pPr>
        <w:pStyle w:val="Heading2"/>
        <w:spacing w:before="80" w:after="40"/>
      </w:pPr>
      <w:r>
        <w:t>8.2  Tusks — Anatomy and Composition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8.2  Tusks — Anatomy and Composition</w:t>
            </w:r>
          </w:p>
        </w:tc>
      </w:tr>
    </w:tbl>
    <w:p>
      <w:pPr>
        <w:spacing w:after="40"/>
      </w:pPr>
    </w:p>
    <w:p>
      <w:pPr>
        <w:spacing w:after="100"/>
        <w:jc w:val="left"/>
      </w:pPr>
      <w:r>
        <w:rPr>
          <w:rFonts w:ascii="Calibri" w:hAnsi="Calibri"/>
          <w:b w:val="0"/>
          <w:i w:val="0"/>
          <w:color w:val="1A1A1A"/>
          <w:sz w:val="19"/>
        </w:rPr>
        <w:t>Tusks are permanently growing incisors (upper only) that have undergone exaggerated evolutionary development for digging, bark stripping, combat, and as a display of sexual fitness. Only 2/3 of the tusk's total length is externally visible; the remaining 1/3 is embedded deep within the incisive fossa (alveolus) of the premaxilla bone.</w:t>
      </w: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Layer (outer → inner)</w:t>
            </w:r>
          </w:p>
        </w:tc>
        <w:tc>
          <w:tcPr>
            <w:tcW w:type="dxa" w:w="3118"/>
            <w:shd w:val="clear" w:color="auto" w:fill="2D6A4F"/>
          </w:tcPr>
          <w:p>
            <w:pPr>
              <w:jc w:val="center"/>
            </w:pPr>
            <w:r>
              <w:rPr>
                <w:rFonts w:ascii="Calibri" w:hAnsi="Calibri"/>
                <w:b/>
                <w:color w:val="FFFFFF"/>
                <w:sz w:val="17"/>
              </w:rPr>
              <w:t>Composition</w:t>
            </w:r>
          </w:p>
        </w:tc>
        <w:tc>
          <w:tcPr>
            <w:tcW w:type="dxa" w:w="3969"/>
            <w:shd w:val="clear" w:color="auto" w:fill="2D6A4F"/>
          </w:tcPr>
          <w:p>
            <w:pPr>
              <w:jc w:val="center"/>
            </w:pPr>
            <w:r>
              <w:rPr>
                <w:rFonts w:ascii="Calibri" w:hAnsi="Calibri"/>
                <w:b/>
                <w:color w:val="FFFFFF"/>
                <w:sz w:val="17"/>
              </w:rPr>
              <w:t>Notes</w:t>
            </w:r>
          </w:p>
        </w:tc>
      </w:tr>
      <w:tr>
        <w:tc>
          <w:tcPr>
            <w:tcW w:type="dxa" w:w="2268"/>
            <w:shd w:val="clear" w:color="auto" w:fill="FFFFFF"/>
          </w:tcPr>
          <w:p>
            <w:r>
              <w:rPr>
                <w:rFonts w:ascii="Calibri" w:hAnsi="Calibri"/>
                <w:b w:val="0"/>
                <w:color w:val="1A1A1A"/>
                <w:sz w:val="17"/>
              </w:rPr>
              <w:t>Cementum</w:t>
            </w:r>
          </w:p>
        </w:tc>
        <w:tc>
          <w:tcPr>
            <w:tcW w:type="dxa" w:w="3118"/>
            <w:shd w:val="clear" w:color="auto" w:fill="FFFFFF"/>
          </w:tcPr>
          <w:p>
            <w:r>
              <w:rPr>
                <w:rFonts w:ascii="Calibri" w:hAnsi="Calibri"/>
                <w:b w:val="0"/>
                <w:color w:val="1A1A1A"/>
                <w:sz w:val="17"/>
              </w:rPr>
              <w:t>Acellular bone-like tissue</w:t>
            </w:r>
          </w:p>
        </w:tc>
        <w:tc>
          <w:tcPr>
            <w:tcW w:type="dxa" w:w="3969"/>
            <w:shd w:val="clear" w:color="auto" w:fill="FFFFFF"/>
          </w:tcPr>
          <w:p>
            <w:r>
              <w:rPr>
                <w:rFonts w:ascii="Calibri" w:hAnsi="Calibri"/>
                <w:b w:val="0"/>
                <w:color w:val="1A1A1A"/>
                <w:sz w:val="17"/>
              </w:rPr>
              <w:t>Thin outer covering; protects dentine</w:t>
            </w:r>
          </w:p>
        </w:tc>
      </w:tr>
      <w:tr>
        <w:tc>
          <w:tcPr>
            <w:tcW w:type="dxa" w:w="2268"/>
            <w:shd w:val="clear" w:color="auto" w:fill="EAF7EE"/>
          </w:tcPr>
          <w:p>
            <w:r>
              <w:rPr>
                <w:rFonts w:ascii="Calibri" w:hAnsi="Calibri"/>
                <w:b w:val="0"/>
                <w:color w:val="1A1A1A"/>
                <w:sz w:val="17"/>
              </w:rPr>
              <w:t>Dentine</w:t>
            </w:r>
          </w:p>
        </w:tc>
        <w:tc>
          <w:tcPr>
            <w:tcW w:type="dxa" w:w="3118"/>
            <w:shd w:val="clear" w:color="auto" w:fill="EAF7EE"/>
          </w:tcPr>
          <w:p>
            <w:r>
              <w:rPr>
                <w:rFonts w:ascii="Calibri" w:hAnsi="Calibri"/>
                <w:b w:val="0"/>
                <w:color w:val="1A1A1A"/>
                <w:sz w:val="17"/>
              </w:rPr>
              <w:t>Mineralized collagen + calcium phosphate crystals (hydroxyapatite)</w:t>
            </w:r>
          </w:p>
        </w:tc>
        <w:tc>
          <w:tcPr>
            <w:tcW w:type="dxa" w:w="3969"/>
            <w:shd w:val="clear" w:color="auto" w:fill="EAF7EE"/>
          </w:tcPr>
          <w:p>
            <w:r>
              <w:rPr>
                <w:rFonts w:ascii="Calibri" w:hAnsi="Calibri"/>
                <w:b w:val="0"/>
                <w:color w:val="1A1A1A"/>
                <w:sz w:val="17"/>
              </w:rPr>
              <w:t>~90% of tusk volume; this IS ivory</w:t>
            </w:r>
          </w:p>
        </w:tc>
      </w:tr>
      <w:tr>
        <w:tc>
          <w:tcPr>
            <w:tcW w:type="dxa" w:w="2268"/>
            <w:shd w:val="clear" w:color="auto" w:fill="FFFFFF"/>
          </w:tcPr>
          <w:p>
            <w:r>
              <w:rPr>
                <w:rFonts w:ascii="Calibri" w:hAnsi="Calibri"/>
                <w:b w:val="0"/>
                <w:color w:val="1A1A1A"/>
                <w:sz w:val="17"/>
              </w:rPr>
              <w:t>Enamel</w:t>
            </w:r>
          </w:p>
        </w:tc>
        <w:tc>
          <w:tcPr>
            <w:tcW w:type="dxa" w:w="3118"/>
            <w:shd w:val="clear" w:color="auto" w:fill="FFFFFF"/>
          </w:tcPr>
          <w:p>
            <w:r>
              <w:rPr>
                <w:rFonts w:ascii="Calibri" w:hAnsi="Calibri"/>
                <w:b w:val="0"/>
                <w:color w:val="1A1A1A"/>
                <w:sz w:val="17"/>
              </w:rPr>
              <w:t>Calcium phosphate crystal matrix</w:t>
            </w:r>
          </w:p>
        </w:tc>
        <w:tc>
          <w:tcPr>
            <w:tcW w:type="dxa" w:w="3969"/>
            <w:shd w:val="clear" w:color="auto" w:fill="FFFFFF"/>
          </w:tcPr>
          <w:p>
            <w:r>
              <w:rPr>
                <w:rFonts w:ascii="Calibri" w:hAnsi="Calibri"/>
                <w:b w:val="0"/>
                <w:color w:val="1A1A1A"/>
                <w:sz w:val="17"/>
              </w:rPr>
              <w:t>ONLY at tip; wears off quickly</w:t>
            </w:r>
          </w:p>
        </w:tc>
      </w:tr>
      <w:tr>
        <w:tc>
          <w:tcPr>
            <w:tcW w:type="dxa" w:w="2268"/>
            <w:shd w:val="clear" w:color="auto" w:fill="EAF7EE"/>
          </w:tcPr>
          <w:p>
            <w:r>
              <w:rPr>
                <w:rFonts w:ascii="Calibri" w:hAnsi="Calibri"/>
                <w:b w:val="0"/>
                <w:color w:val="1A1A1A"/>
                <w:sz w:val="17"/>
              </w:rPr>
              <w:t>Pulp cavity (centre)</w:t>
            </w:r>
          </w:p>
        </w:tc>
        <w:tc>
          <w:tcPr>
            <w:tcW w:type="dxa" w:w="3118"/>
            <w:shd w:val="clear" w:color="auto" w:fill="EAF7EE"/>
          </w:tcPr>
          <w:p>
            <w:r>
              <w:rPr>
                <w:rFonts w:ascii="Calibri" w:hAnsi="Calibri"/>
                <w:b w:val="0"/>
                <w:color w:val="1A1A1A"/>
                <w:sz w:val="17"/>
              </w:rPr>
              <w:t>Connective tissue, blood vessels, nerves</w:t>
            </w:r>
          </w:p>
        </w:tc>
        <w:tc>
          <w:tcPr>
            <w:tcW w:type="dxa" w:w="3969"/>
            <w:shd w:val="clear" w:color="auto" w:fill="EAF7EE"/>
          </w:tcPr>
          <w:p>
            <w:r>
              <w:rPr>
                <w:rFonts w:ascii="Calibri" w:hAnsi="Calibri"/>
                <w:b w:val="0"/>
                <w:color w:val="1A1A1A"/>
                <w:sz w:val="17"/>
              </w:rPr>
              <w:t>Where ivory is continuously formed</w:t>
            </w:r>
          </w:p>
        </w:tc>
      </w:tr>
    </w:tbl>
    <w:p>
      <w:pPr>
        <w:spacing w:after="40"/>
      </w:pPr>
    </w:p>
    <w:p>
      <w:pPr>
        <w:spacing w:after="40"/>
        <w:ind w:left="283" w:hanging="170"/>
      </w:pPr>
      <w:r>
        <w:rPr>
          <w:rFonts w:ascii="Calibri" w:hAnsi="Calibri"/>
          <w:color w:val="1A1A1A"/>
          <w:sz w:val="19"/>
        </w:rPr>
        <w:t>•  Ivory properties: NOT brittle (unlike enamel), creamy/white in colour, continuous growth throughout life</w:t>
      </w:r>
    </w:p>
    <w:p>
      <w:pPr>
        <w:spacing w:after="40"/>
        <w:ind w:left="283" w:hanging="170"/>
      </w:pPr>
      <w:r>
        <w:rPr>
          <w:rFonts w:ascii="Calibri" w:hAnsi="Calibri"/>
          <w:color w:val="1A1A1A"/>
          <w:sz w:val="19"/>
        </w:rPr>
        <w:t>•  Tusks grow approximately 10–15 cm per year in adult males</w:t>
      </w:r>
    </w:p>
    <w:p>
      <w:pPr>
        <w:spacing w:after="40"/>
        <w:ind w:left="283" w:hanging="170"/>
      </w:pPr>
      <w:r>
        <w:rPr>
          <w:rFonts w:ascii="Calibri" w:hAnsi="Calibri"/>
          <w:color w:val="1A1A1A"/>
          <w:sz w:val="19"/>
        </w:rPr>
        <w:t>•  "Makhna" = tuskless male Asian elephant (common in Sri Lankan population; rare in Indian)</w:t>
      </w:r>
    </w:p>
    <w:p>
      <w:pPr>
        <w:spacing w:after="40"/>
        <w:ind w:left="283" w:hanging="170"/>
      </w:pPr>
      <w:r>
        <w:rPr>
          <w:rFonts w:ascii="Calibri" w:hAnsi="Calibri"/>
          <w:color w:val="1A1A1A"/>
          <w:sz w:val="19"/>
        </w:rPr>
        <w:t>•  Female Asian elephants usually have very small tushes or none visible; African females have prominent tusks</w:t>
      </w:r>
    </w:p>
    <w:p>
      <w:pPr>
        <w:pStyle w:val="Heading2"/>
        <w:spacing w:before="80" w:after="40"/>
      </w:pPr>
      <w:r>
        <w:t>8.3  Schreger Lines — The Ivory Fingerprint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8.3  Schreger Lines — The Ivory Fingerprint</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slide_20.png"/>
                    <pic:cNvPicPr/>
                  </pic:nvPicPr>
                  <pic:blipFill>
                    <a:blip r:embed="rId25"/>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20 — Schreger lines in cross-section of ivory (forensic identification)</w:t>
      </w:r>
    </w:p>
    <w:p>
      <w:pPr>
        <w:spacing w:after="100"/>
        <w:jc w:val="left"/>
      </w:pPr>
      <w:r>
        <w:rPr>
          <w:rFonts w:ascii="Calibri" w:hAnsi="Calibri"/>
          <w:b w:val="0"/>
          <w:i w:val="0"/>
          <w:color w:val="1A1A1A"/>
          <w:sz w:val="19"/>
        </w:rPr>
        <w:t>Schreger lines are the most important forensic feature for identifying elephant ivory. They appear as characteristic cross-hatching (engine turning, stacked chevrons, or checkerboard pattern) on a polished cross-section of ivory dentine, resulting from the three-dimensional arrangement of mineralized collagen fibrils in the dentine matrix.</w:t>
      </w:r>
    </w:p>
    <w:p>
      <w:pPr>
        <w:spacing w:after="40"/>
        <w:ind w:left="283" w:hanging="170"/>
      </w:pPr>
      <w:r>
        <w:rPr>
          <w:rFonts w:ascii="Calibri" w:hAnsi="Calibri"/>
          <w:color w:val="1A1A1A"/>
          <w:sz w:val="19"/>
        </w:rPr>
        <w:t>•  Visible on cross-sections perpendicular to the tusk axis as a checkerboard / chevron pattern</w:t>
      </w:r>
    </w:p>
    <w:p>
      <w:pPr>
        <w:spacing w:after="40"/>
        <w:ind w:left="283" w:hanging="170"/>
      </w:pPr>
      <w:r>
        <w:rPr>
          <w:rFonts w:ascii="Calibri" w:hAnsi="Calibri"/>
          <w:color w:val="1A1A1A"/>
          <w:sz w:val="19"/>
        </w:rPr>
        <w:t>•  On longitudinal sections: alternating light and dark stripes</w:t>
      </w:r>
    </w:p>
    <w:p>
      <w:pPr>
        <w:spacing w:after="40"/>
        <w:ind w:left="283" w:hanging="170"/>
      </w:pPr>
      <w:r>
        <w:rPr>
          <w:rFonts w:ascii="Calibri" w:hAnsi="Calibri"/>
          <w:color w:val="1A1A1A"/>
          <w:sz w:val="19"/>
        </w:rPr>
        <w:t>•  TWO types:</w:t>
      </w:r>
    </w:p>
    <w:p>
      <w:pPr>
        <w:spacing w:after="40"/>
        <w:ind w:left="567" w:hanging="170"/>
      </w:pPr>
      <w:r>
        <w:rPr>
          <w:rFonts w:ascii="Calibri" w:hAnsi="Calibri"/>
          <w:color w:val="1A1A1A"/>
          <w:sz w:val="19"/>
        </w:rPr>
        <w:t>◦  Outer Schreger lines — clearly visible near the cementum surface</w:t>
      </w:r>
    </w:p>
    <w:p>
      <w:pPr>
        <w:spacing w:after="40"/>
        <w:ind w:left="567" w:hanging="170"/>
      </w:pPr>
      <w:r>
        <w:rPr>
          <w:rFonts w:ascii="Calibri" w:hAnsi="Calibri"/>
          <w:color w:val="1A1A1A"/>
          <w:sz w:val="19"/>
        </w:rPr>
        <w:t>◦  Inner Schreger lines — faintly visible near the pulp cavity</w:t>
      </w:r>
    </w:p>
    <w:p>
      <w:pPr>
        <w:spacing w:after="40"/>
        <w:ind w:left="283" w:hanging="170"/>
      </w:pPr>
      <w:r>
        <w:rPr>
          <w:rFonts w:ascii="Calibri" w:hAnsi="Calibri"/>
          <w:color w:val="1A1A1A"/>
          <w:sz w:val="19"/>
        </w:rPr>
        <w:t>•  Angle of intersection of Schreger lines distinguishes species:</w:t>
      </w:r>
    </w:p>
    <w:p>
      <w:pPr>
        <w:spacing w:after="40"/>
        <w:ind w:left="567" w:hanging="170"/>
      </w:pPr>
      <w:r>
        <w:rPr>
          <w:rFonts w:ascii="Calibri" w:hAnsi="Calibri"/>
          <w:color w:val="1A1A1A"/>
          <w:sz w:val="19"/>
        </w:rPr>
        <w:t>◦  ELEPHANT ivory: average angle 115° — characteristic "V" or chevron shape</w:t>
      </w:r>
    </w:p>
    <w:p>
      <w:pPr>
        <w:spacing w:after="40"/>
        <w:ind w:left="567" w:hanging="170"/>
      </w:pPr>
      <w:r>
        <w:rPr>
          <w:rFonts w:ascii="Calibri" w:hAnsi="Calibri"/>
          <w:color w:val="1A1A1A"/>
          <w:sz w:val="19"/>
        </w:rPr>
        <w:t>◦  MAMMOTH ivory: smaller angle — distinguishable from elephant ivory</w:t>
      </w:r>
    </w:p>
    <w:p>
      <w:pPr>
        <w:spacing w:after="40"/>
        <w:ind w:left="567" w:hanging="170"/>
      </w:pPr>
      <w:r>
        <w:rPr>
          <w:rFonts w:ascii="Calibri" w:hAnsi="Calibri"/>
          <w:color w:val="1A1A1A"/>
          <w:sz w:val="19"/>
        </w:rPr>
        <w:t>◦  Hippo, walrus, boar: NO Schreger lines — conclusively not elephant/mammoth ivory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FORENSIC / LEGAL: Schreger lines are the gold standard for confirming elephant ivory identity — admissible in court. Visible under UV black light. Required identification test under CITES Appendix I and Wildlife Protection Act 1972 (India). Document in all seizure reports involving suspected ivory.</w:t>
            </w:r>
          </w:p>
        </w:tc>
      </w:tr>
    </w:tbl>
    <w:p>
      <w:pPr>
        <w:spacing w:after="40"/>
      </w:pPr>
    </w:p>
    <w:p/>
    <w:p>
      <w:pPr>
        <w:spacing w:before="0" w:after="0"/>
      </w:pPr>
      <w:r>
        <w:br w:type="page"/>
      </w:r>
    </w:p>
    <w:p>
      <w:pPr>
        <w:pStyle w:val="Heading1"/>
        <w:spacing w:before="160" w:after="40"/>
      </w:pPr>
      <w:r>
        <w:t>9.  Skin, Eyes &amp; Integumentary Glands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9.  Skin, Eyes &amp; Integumentary Glands</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18" name="Picture 18"/>
            <wp:cNvGraphicFramePr>
              <a:graphicFrameLocks noChangeAspect="1"/>
            </wp:cNvGraphicFramePr>
            <a:graphic>
              <a:graphicData uri="http://schemas.openxmlformats.org/drawingml/2006/picture">
                <pic:pic>
                  <pic:nvPicPr>
                    <pic:cNvPr id="0" name="slide_17.png"/>
                    <pic:cNvPicPr/>
                  </pic:nvPicPr>
                  <pic:blipFill>
                    <a:blip r:embed="rId26"/>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17 — Skin texture (left), mammary glands (centre), temporal gland (right)</w:t>
      </w:r>
    </w:p>
    <w:p>
      <w:pPr>
        <w:pStyle w:val="Heading2"/>
        <w:spacing w:before="80" w:after="40"/>
      </w:pPr>
      <w:r>
        <w:t>9.1  Skin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9.1  Skin</w:t>
            </w:r>
          </w:p>
        </w:tc>
      </w:tr>
    </w:tbl>
    <w:p>
      <w:pPr>
        <w:spacing w:after="40"/>
      </w:pPr>
    </w:p>
    <w:p>
      <w:pPr>
        <w:spacing w:after="40"/>
        <w:ind w:left="283" w:hanging="170"/>
      </w:pPr>
      <w:r>
        <w:rPr>
          <w:rFonts w:ascii="Calibri" w:hAnsi="Calibri"/>
          <w:color w:val="1A1A1A"/>
          <w:sz w:val="19"/>
        </w:rPr>
        <w:t>•  Skin is deeply wrinkled and thick (up to 2.5 cm over the back and head)</w:t>
      </w:r>
    </w:p>
    <w:p>
      <w:pPr>
        <w:spacing w:after="40"/>
        <w:ind w:left="283" w:hanging="170"/>
      </w:pPr>
      <w:r>
        <w:rPr>
          <w:rFonts w:ascii="Calibri" w:hAnsi="Calibri"/>
          <w:color w:val="1A1A1A"/>
          <w:sz w:val="19"/>
        </w:rPr>
        <w:t>•  Wrinkles significantly increase surface area for heat dissipation — critical for thermoregulation</w:t>
      </w:r>
    </w:p>
    <w:p>
      <w:pPr>
        <w:spacing w:after="40"/>
        <w:ind w:left="283" w:hanging="170"/>
      </w:pPr>
      <w:r>
        <w:rPr>
          <w:rFonts w:ascii="Calibri" w:hAnsi="Calibri"/>
          <w:color w:val="1A1A1A"/>
          <w:sz w:val="19"/>
        </w:rPr>
        <w:t>•  Skin colour: dark grey; depigmented (pink) patches may appear on trunk, ears, and neck — more common in Asian elephants</w:t>
      </w:r>
    </w:p>
    <w:p>
      <w:pPr>
        <w:spacing w:after="40"/>
        <w:ind w:left="283" w:hanging="170"/>
      </w:pPr>
      <w:r>
        <w:rPr>
          <w:rFonts w:ascii="Calibri" w:hAnsi="Calibri"/>
          <w:color w:val="1A1A1A"/>
          <w:sz w:val="19"/>
        </w:rPr>
        <w:t>•  Sparse hair covering (not completely hairless): more visible in calves, reduces with age</w:t>
      </w:r>
    </w:p>
    <w:p>
      <w:pPr>
        <w:spacing w:after="40"/>
        <w:ind w:left="283" w:hanging="170"/>
      </w:pPr>
      <w:r>
        <w:rPr>
          <w:rFonts w:ascii="Calibri" w:hAnsi="Calibri"/>
          <w:color w:val="1A1A1A"/>
          <w:sz w:val="19"/>
        </w:rPr>
        <w:t>•  Vibrissae (sensory whiskers) present on trunk, face, and tail tip</w:t>
      </w:r>
    </w:p>
    <w:p>
      <w:pPr>
        <w:spacing w:after="40"/>
        <w:ind w:left="283" w:hanging="170"/>
      </w:pPr>
      <w:r>
        <w:rPr>
          <w:rFonts w:ascii="Calibri" w:hAnsi="Calibri"/>
          <w:color w:val="1A1A1A"/>
          <w:sz w:val="19"/>
        </w:rPr>
        <w:t>•  NO typical skin sweat glands across the body surface</w:t>
      </w:r>
    </w:p>
    <w:p>
      <w:pPr>
        <w:spacing w:after="40"/>
        <w:ind w:left="283" w:hanging="170"/>
      </w:pPr>
      <w:r>
        <w:rPr>
          <w:rFonts w:ascii="Calibri" w:hAnsi="Calibri"/>
          <w:color w:val="1A1A1A"/>
          <w:sz w:val="19"/>
        </w:rPr>
        <w:t>•  Very few sweat glands — only clustered around the TOENAILS (sole source of sweat secretion)</w:t>
      </w:r>
    </w:p>
    <w:p>
      <w:pPr>
        <w:pStyle w:val="Heading2"/>
        <w:spacing w:before="80" w:after="40"/>
      </w:pPr>
      <w:r>
        <w:t>9.2  Thermoregulation Methods (in absence of sweat glands)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9.2  Thermoregulation Methods (in absence of sweat glands)</w:t>
            </w:r>
          </w:p>
        </w:tc>
      </w:tr>
    </w:tbl>
    <w:p>
      <w:pPr>
        <w:spacing w:after="40"/>
      </w:pPr>
    </w:p>
    <w:p>
      <w:pPr>
        <w:spacing w:after="40"/>
        <w:ind w:left="283" w:hanging="170"/>
      </w:pPr>
      <w:r>
        <w:rPr>
          <w:rFonts w:ascii="Calibri" w:hAnsi="Calibri"/>
          <w:color w:val="1A1A1A"/>
          <w:sz w:val="19"/>
        </w:rPr>
        <w:t>•  Ear flapping: large surface area with subcutaneous blood vessels → convective heat loss (ears can reduce blood temperature by up to 5°C)</w:t>
      </w:r>
    </w:p>
    <w:p>
      <w:pPr>
        <w:spacing w:after="40"/>
        <w:ind w:left="283" w:hanging="170"/>
      </w:pPr>
      <w:r>
        <w:rPr>
          <w:rFonts w:ascii="Calibri" w:hAnsi="Calibri"/>
          <w:color w:val="1A1A1A"/>
          <w:sz w:val="19"/>
        </w:rPr>
        <w:t>•  Water bathing and mud wallowing: evaporative cooling</w:t>
      </w:r>
    </w:p>
    <w:p>
      <w:pPr>
        <w:spacing w:after="40"/>
        <w:ind w:left="283" w:hanging="170"/>
      </w:pPr>
      <w:r>
        <w:rPr>
          <w:rFonts w:ascii="Calibri" w:hAnsi="Calibri"/>
          <w:color w:val="1A1A1A"/>
          <w:sz w:val="19"/>
        </w:rPr>
        <w:t>•  Seeking shade during peak heat hours</w:t>
      </w:r>
    </w:p>
    <w:p>
      <w:pPr>
        <w:spacing w:after="40"/>
        <w:ind w:left="283" w:hanging="170"/>
      </w:pPr>
      <w:r>
        <w:rPr>
          <w:rFonts w:ascii="Calibri" w:hAnsi="Calibri"/>
          <w:color w:val="1A1A1A"/>
          <w:sz w:val="19"/>
        </w:rPr>
        <w:t>•  Seeking wet areas / water bodies to immerse and cool body core</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FIELD WARNING: Elephants are highly susceptible to heat stress and hyperthermia during capture, immobilization, or transport. No functional body sweat glands = very limited intrinsic cooling. Monitor body temperature, spray water on ears, and minimize exposure to direct sunlight.</w:t>
            </w:r>
          </w:p>
        </w:tc>
      </w:tr>
    </w:tbl>
    <w:p>
      <w:pPr>
        <w:spacing w:after="40"/>
      </w:pPr>
    </w:p>
    <w:p>
      <w:pPr>
        <w:pStyle w:val="Heading2"/>
        <w:spacing w:before="80" w:after="40"/>
      </w:pPr>
      <w:r>
        <w:t>9.3  Eyes &amp; Lacrimal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9.3  Eyes &amp; Lacrimal System</w:t>
            </w:r>
          </w:p>
        </w:tc>
      </w:tr>
    </w:tbl>
    <w:p>
      <w:pPr>
        <w:spacing w:after="40"/>
      </w:pPr>
    </w:p>
    <w:p>
      <w:pPr>
        <w:spacing w:after="40"/>
        <w:ind w:left="283" w:hanging="170"/>
      </w:pPr>
      <w:r>
        <w:rPr>
          <w:rFonts w:ascii="Calibri" w:hAnsi="Calibri"/>
          <w:color w:val="1A1A1A"/>
          <w:sz w:val="19"/>
        </w:rPr>
        <w:t>•  Eyes have NO lacrimal apparatus (no conventional tear ducts or lacrimal glands)</w:t>
      </w:r>
    </w:p>
    <w:p>
      <w:pPr>
        <w:spacing w:after="40"/>
        <w:ind w:left="283" w:hanging="170"/>
      </w:pPr>
      <w:r>
        <w:rPr>
          <w:rFonts w:ascii="Calibri" w:hAnsi="Calibri"/>
          <w:color w:val="1A1A1A"/>
          <w:sz w:val="19"/>
        </w:rPr>
        <w:t>•  Eye moisturization is entirely provided by the Harderian gland — a large modified gland in the orbit</w:t>
      </w:r>
    </w:p>
    <w:p>
      <w:pPr>
        <w:spacing w:after="40"/>
        <w:ind w:left="283" w:hanging="170"/>
      </w:pPr>
      <w:r>
        <w:rPr>
          <w:rFonts w:ascii="Calibri" w:hAnsi="Calibri"/>
          <w:color w:val="1A1A1A"/>
          <w:sz w:val="19"/>
        </w:rPr>
        <w:t>•  Harderian gland secretion provides lubrication and may have immunological function</w:t>
      </w:r>
    </w:p>
    <w:p>
      <w:pPr>
        <w:spacing w:after="40"/>
        <w:ind w:left="283" w:hanging="170"/>
      </w:pPr>
      <w:r>
        <w:rPr>
          <w:rFonts w:ascii="Calibri" w:hAnsi="Calibri"/>
          <w:color w:val="1A1A1A"/>
          <w:sz w:val="19"/>
        </w:rPr>
        <w:t>•  Robust nictitating membrane (third eyelid) present — moves mediolaterally to clean and protect the cornea</w:t>
      </w:r>
    </w:p>
    <w:p>
      <w:pPr>
        <w:spacing w:after="40"/>
        <w:ind w:left="283" w:hanging="170"/>
      </w:pPr>
      <w:r>
        <w:rPr>
          <w:rFonts w:ascii="Calibri" w:hAnsi="Calibri"/>
          <w:color w:val="1A1A1A"/>
          <w:sz w:val="19"/>
        </w:rPr>
        <w:t>•  Poor visual acuity — eyesight is secondary to olfaction and hearing</w:t>
      </w:r>
    </w:p>
    <w:p>
      <w:pPr>
        <w:pStyle w:val="Heading2"/>
        <w:spacing w:before="80" w:after="40"/>
      </w:pPr>
      <w:r>
        <w:t>9.4  Mammary Glands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9.4  Mammary Glands</w:t>
            </w:r>
          </w:p>
        </w:tc>
      </w:tr>
    </w:tbl>
    <w:p>
      <w:pPr>
        <w:spacing w:after="40"/>
      </w:pPr>
    </w:p>
    <w:p>
      <w:pPr>
        <w:spacing w:after="40"/>
        <w:ind w:left="283" w:hanging="170"/>
      </w:pPr>
      <w:r>
        <w:rPr>
          <w:rFonts w:ascii="Calibri" w:hAnsi="Calibri"/>
          <w:color w:val="1A1A1A"/>
          <w:sz w:val="19"/>
        </w:rPr>
        <w:t>•  Female elephants have TWO pectoral mammary glands — located between the front legs on the chest wall</w:t>
      </w:r>
    </w:p>
    <w:p>
      <w:pPr>
        <w:spacing w:after="40"/>
        <w:ind w:left="283" w:hanging="170"/>
      </w:pPr>
      <w:r>
        <w:rPr>
          <w:rFonts w:ascii="Calibri" w:hAnsi="Calibri"/>
          <w:color w:val="1A1A1A"/>
          <w:sz w:val="19"/>
        </w:rPr>
        <w:t>•  This is unusual among mammals — most species have inguinal or abdominal mammary glands</w:t>
      </w:r>
    </w:p>
    <w:p>
      <w:pPr>
        <w:spacing w:after="40"/>
        <w:ind w:left="283" w:hanging="170"/>
      </w:pPr>
      <w:r>
        <w:rPr>
          <w:rFonts w:ascii="Calibri" w:hAnsi="Calibri"/>
          <w:color w:val="1A1A1A"/>
          <w:sz w:val="19"/>
        </w:rPr>
        <w:t>•  Calves suckle with their MOUTH (not trunk) by reaching up between the mother's front legs</w:t>
      </w:r>
    </w:p>
    <w:p>
      <w:pPr>
        <w:spacing w:after="40"/>
        <w:ind w:left="283" w:hanging="170"/>
      </w:pPr>
      <w:r>
        <w:rPr>
          <w:rFonts w:ascii="Calibri" w:hAnsi="Calibri"/>
          <w:color w:val="1A1A1A"/>
          <w:sz w:val="19"/>
        </w:rPr>
        <w:t>•  Lactation period: up to 4–5 years; calves are milk-dependent for at least 2 years</w:t>
      </w:r>
    </w:p>
    <w:p>
      <w:pPr>
        <w:spacing w:after="40"/>
        <w:ind w:left="283" w:hanging="170"/>
      </w:pPr>
      <w:r>
        <w:rPr>
          <w:rFonts w:ascii="Calibri" w:hAnsi="Calibri"/>
          <w:color w:val="1A1A1A"/>
          <w:sz w:val="19"/>
        </w:rPr>
        <w:t>•  Milk production: ~11–12 litres per day during peak lactation</w:t>
      </w:r>
    </w:p>
    <w:p>
      <w:pPr>
        <w:pStyle w:val="Heading2"/>
        <w:spacing w:before="80" w:after="40"/>
      </w:pPr>
      <w:r>
        <w:t>9.5  Temporal Gland — Musth</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9.5  Temporal Gland — Musth</w:t>
            </w:r>
          </w:p>
        </w:tc>
      </w:tr>
    </w:tbl>
    <w:p>
      <w:pPr>
        <w:spacing w:after="40"/>
      </w:pPr>
    </w:p>
    <w:p>
      <w:pPr>
        <w:spacing w:after="80"/>
        <w:jc w:val="left"/>
      </w:pPr>
      <w:r>
        <w:rPr>
          <w:rFonts w:ascii="Calibri" w:hAnsi="Calibri"/>
          <w:b w:val="0"/>
          <w:i w:val="0"/>
          <w:color w:val="1A1A1A"/>
          <w:sz w:val="19"/>
        </w:rPr>
        <w:t>The temporal gland is a specialized secretory structure unique to elephants, located on each side of the head between the eye and the ear. It is present in BOTH sexes:</w:t>
      </w:r>
    </w:p>
    <w:p>
      <w:pPr>
        <w:spacing w:after="40"/>
        <w:ind w:left="283" w:hanging="170"/>
      </w:pPr>
      <w:r>
        <w:rPr>
          <w:rFonts w:ascii="Calibri" w:hAnsi="Calibri"/>
          <w:color w:val="1A1A1A"/>
          <w:sz w:val="19"/>
        </w:rPr>
        <w:t>•  Histologically: a MODIFIED APOCRINE SWEAT GLAND (not a true salivary or sebaceous gland)</w:t>
      </w:r>
    </w:p>
    <w:p>
      <w:pPr>
        <w:spacing w:after="40"/>
        <w:ind w:left="283" w:hanging="170"/>
      </w:pPr>
      <w:r>
        <w:rPr>
          <w:rFonts w:ascii="Calibri" w:hAnsi="Calibri"/>
          <w:color w:val="1A1A1A"/>
          <w:sz w:val="19"/>
        </w:rPr>
        <w:t>•  Secretes an oily fluid containing cholesterol, phenol, cresol, and farnesol (pheromone-like compounds)</w:t>
      </w:r>
    </w:p>
    <w:p>
      <w:pPr>
        <w:spacing w:after="40"/>
        <w:ind w:left="283" w:hanging="170"/>
      </w:pPr>
      <w:r>
        <w:rPr>
          <w:rFonts w:ascii="Calibri" w:hAnsi="Calibri"/>
          <w:color w:val="1A1A1A"/>
          <w:sz w:val="19"/>
        </w:rPr>
        <w:t>•  In MALES during musth: secretes thick, dark "temporin" — a tar-like fluid indicating peak testosterone</w:t>
      </w:r>
    </w:p>
    <w:p>
      <w:pPr>
        <w:spacing w:after="40"/>
        <w:ind w:left="283" w:hanging="170"/>
      </w:pPr>
      <w:r>
        <w:rPr>
          <w:rFonts w:ascii="Calibri" w:hAnsi="Calibri"/>
          <w:color w:val="1A1A1A"/>
          <w:sz w:val="19"/>
        </w:rPr>
        <w:t>•  In FEMALES: may activate during exciting or stressful periods (births, encounters)</w:t>
      </w:r>
    </w:p>
    <w:p>
      <w:pPr>
        <w:spacing w:after="40"/>
        <w:ind w:left="283" w:hanging="170"/>
      </w:pPr>
      <w:r>
        <w:rPr>
          <w:rFonts w:ascii="Calibri" w:hAnsi="Calibri"/>
          <w:color w:val="1A1A1A"/>
          <w:sz w:val="19"/>
        </w:rPr>
        <w:t>•  MUSTH characteristics in bulls:</w:t>
      </w:r>
    </w:p>
    <w:p>
      <w:pPr>
        <w:spacing w:after="40"/>
        <w:ind w:left="567" w:hanging="170"/>
      </w:pPr>
      <w:r>
        <w:rPr>
          <w:rFonts w:ascii="Calibri" w:hAnsi="Calibri"/>
          <w:color w:val="1A1A1A"/>
          <w:sz w:val="19"/>
        </w:rPr>
        <w:t>◦  Drooling from mouth, dribbling urine continuously (green tinge)</w:t>
      </w:r>
    </w:p>
    <w:p>
      <w:pPr>
        <w:spacing w:after="40"/>
        <w:ind w:left="567" w:hanging="170"/>
      </w:pPr>
      <w:r>
        <w:rPr>
          <w:rFonts w:ascii="Calibri" w:hAnsi="Calibri"/>
          <w:color w:val="1A1A1A"/>
          <w:sz w:val="19"/>
        </w:rPr>
        <w:t>◦  Swollen temporal gland with heavy temporin secretion</w:t>
      </w:r>
    </w:p>
    <w:p>
      <w:pPr>
        <w:spacing w:after="40"/>
        <w:ind w:left="567" w:hanging="170"/>
      </w:pPr>
      <w:r>
        <w:rPr>
          <w:rFonts w:ascii="Calibri" w:hAnsi="Calibri"/>
          <w:color w:val="1A1A1A"/>
          <w:sz w:val="19"/>
        </w:rPr>
        <w:t>◦  Aggressive, unpredictable behaviour; testosterone levels 60× normal baseline</w:t>
      </w:r>
    </w:p>
    <w:p>
      <w:pPr>
        <w:spacing w:after="40"/>
        <w:ind w:left="567" w:hanging="170"/>
      </w:pPr>
      <w:r>
        <w:rPr>
          <w:rFonts w:ascii="Calibri" w:hAnsi="Calibri"/>
          <w:color w:val="1A1A1A"/>
          <w:sz w:val="19"/>
        </w:rPr>
        <w:t>◦  Duration: days to months; annual event in mature bulls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SAFETY: A bull elephant in musth is EXTREMELY DANGEROUS and unpredictable. Dark temporal gland secretion + dribbling urine = musth indicator. Approach only with extreme caution. Musth can override dominance hierarchies — even trained captive elephants in musth are dangerous.</w:t>
            </w:r>
          </w:p>
        </w:tc>
      </w:tr>
    </w:tbl>
    <w:p>
      <w:pPr>
        <w:spacing w:after="40"/>
      </w:pPr>
    </w:p>
    <w:p/>
    <w:p>
      <w:pPr>
        <w:spacing w:before="0" w:after="0"/>
      </w:pPr>
      <w:r>
        <w:br w:type="page"/>
      </w:r>
    </w:p>
    <w:p>
      <w:pPr>
        <w:pStyle w:val="Heading1"/>
        <w:spacing w:before="160" w:after="40"/>
      </w:pPr>
      <w:r>
        <w:t>10.  Internal Organs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10.  Internal Organs</w:t>
            </w:r>
          </w:p>
        </w:tc>
      </w:tr>
    </w:tbl>
    <w:p>
      <w:pPr>
        <w:spacing w:after="40"/>
      </w:pPr>
    </w:p>
    <w:p>
      <w:pPr>
        <w:spacing w:before="80" w:after="4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slide_18.png"/>
                    <pic:cNvPicPr/>
                  </pic:nvPicPr>
                  <pic:blipFill>
                    <a:blip r:embed="rId27"/>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18 — Full labelled internal organ diagram</w:t>
      </w:r>
    </w:p>
    <w:p>
      <w:pPr>
        <w:spacing w:before="80" w:after="40"/>
        <w:jc w:val="center"/>
      </w:pPr>
      <w:r>
        <w:drawing>
          <wp:inline xmlns:a="http://schemas.openxmlformats.org/drawingml/2006/main" xmlns:pic="http://schemas.openxmlformats.org/drawingml/2006/picture">
            <wp:extent cx="5040000" cy="3104348"/>
            <wp:docPr id="20" name="Picture 20"/>
            <wp:cNvGraphicFramePr>
              <a:graphicFrameLocks noChangeAspect="1"/>
            </wp:cNvGraphicFramePr>
            <a:graphic>
              <a:graphicData uri="http://schemas.openxmlformats.org/drawingml/2006/picture">
                <pic:pic>
                  <pic:nvPicPr>
                    <pic:cNvPr id="0" name="slide_19.png"/>
                    <pic:cNvPicPr/>
                  </pic:nvPicPr>
                  <pic:blipFill>
                    <a:blip r:embed="rId28"/>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19 — Heart, reproductive system, and respiratory anatomy details</w:t>
      </w:r>
    </w:p>
    <w:p>
      <w:pPr>
        <w:pStyle w:val="Heading2"/>
        <w:spacing w:before="80" w:after="40"/>
      </w:pPr>
      <w:r>
        <w:t>10.1  Digestive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10.1  Digestive System</w:t>
            </w:r>
          </w:p>
        </w:tc>
      </w:tr>
    </w:tbl>
    <w:p>
      <w:pPr>
        <w:spacing w:after="40"/>
      </w:pPr>
    </w:p>
    <w:p>
      <w:pPr>
        <w:spacing w:after="40"/>
        <w:ind w:left="283" w:hanging="170"/>
      </w:pPr>
      <w:r>
        <w:rPr>
          <w:rFonts w:ascii="Calibri" w:hAnsi="Calibri"/>
          <w:color w:val="1A1A1A"/>
          <w:sz w:val="19"/>
        </w:rPr>
        <w:t>•  Monogastric (single-stomach) HINDGUT FERMENTATION system — fermentation occurs in the cecum and large intestine (like horses), not in the stomach (unlike cattle)</w:t>
      </w:r>
    </w:p>
    <w:p>
      <w:pPr>
        <w:spacing w:after="40"/>
        <w:ind w:left="283" w:hanging="170"/>
      </w:pPr>
      <w:r>
        <w:rPr>
          <w:rFonts w:ascii="Calibri" w:hAnsi="Calibri"/>
          <w:color w:val="1A1A1A"/>
          <w:sz w:val="19"/>
        </w:rPr>
        <w:t>•  Total bowel (intestinal) length: up to 35 metres</w:t>
      </w:r>
    </w:p>
    <w:p>
      <w:pPr>
        <w:spacing w:after="40"/>
        <w:ind w:left="283" w:hanging="170"/>
      </w:pPr>
      <w:r>
        <w:rPr>
          <w:rFonts w:ascii="Calibri" w:hAnsi="Calibri"/>
          <w:color w:val="1A1A1A"/>
          <w:sz w:val="19"/>
        </w:rPr>
        <w:t>•  Digestive efficiency: only ~40% — most plant ingesta pass undigested; compensated by consuming 150–200 kg of plant material daily</w:t>
      </w:r>
    </w:p>
    <w:p>
      <w:pPr>
        <w:spacing w:after="40"/>
        <w:ind w:left="283" w:hanging="170"/>
      </w:pPr>
      <w:r>
        <w:rPr>
          <w:rFonts w:ascii="Calibri" w:hAnsi="Calibri"/>
          <w:color w:val="1A1A1A"/>
          <w:sz w:val="19"/>
        </w:rPr>
        <w:t>•  Stomach: simple, single-chambered; muscular; relatively small</w:t>
      </w:r>
    </w:p>
    <w:p>
      <w:pPr>
        <w:spacing w:after="40"/>
        <w:ind w:left="283" w:hanging="170"/>
      </w:pPr>
      <w:r>
        <w:rPr>
          <w:rFonts w:ascii="Calibri" w:hAnsi="Calibri"/>
          <w:color w:val="1A1A1A"/>
          <w:sz w:val="19"/>
        </w:rPr>
        <w:t>•  LIVER: has NO GALL BLADDER — bile drains directly from liver into the duodenum via the bile duct; a duodenal pouch connects biliary and pancreatic ducts (unique arrangement)</w:t>
      </w:r>
    </w:p>
    <w:p>
      <w:pPr>
        <w:spacing w:after="40"/>
        <w:ind w:left="283" w:hanging="170"/>
      </w:pPr>
      <w:r>
        <w:rPr>
          <w:rFonts w:ascii="Calibri" w:hAnsi="Calibri"/>
          <w:color w:val="1A1A1A"/>
          <w:sz w:val="19"/>
        </w:rPr>
        <w:t>•  Cecum volume: 90 ± 10 litres — the largest fermentation chamber; acts together with the colon as the main fermentation site</w:t>
      </w:r>
    </w:p>
    <w:p>
      <w:pPr>
        <w:spacing w:after="40"/>
        <w:ind w:left="283" w:hanging="170"/>
      </w:pPr>
      <w:r>
        <w:rPr>
          <w:rFonts w:ascii="Calibri" w:hAnsi="Calibri"/>
          <w:color w:val="1A1A1A"/>
          <w:sz w:val="19"/>
        </w:rPr>
        <w:t>•  GI passage rate: 18–48 hours from ingestion to defecation — faster than ruminants, compensating for low efficiency</w:t>
      </w:r>
    </w:p>
    <w:p>
      <w:pPr>
        <w:spacing w:after="40"/>
        <w:ind w:left="283" w:hanging="170"/>
      </w:pPr>
      <w:r>
        <w:rPr>
          <w:rFonts w:ascii="Calibri" w:hAnsi="Calibri"/>
          <w:color w:val="1A1A1A"/>
          <w:sz w:val="19"/>
        </w:rPr>
        <w:t>•  Water intake: 80–200 litres per day depending on climate and season</w:t>
      </w:r>
    </w:p>
    <w:p>
      <w:pPr>
        <w:spacing w:after="40"/>
        <w:ind w:left="283" w:hanging="170"/>
      </w:pPr>
      <w:r>
        <w:rPr>
          <w:rFonts w:ascii="Calibri" w:hAnsi="Calibri"/>
          <w:color w:val="1A1A1A"/>
          <w:sz w:val="19"/>
        </w:rPr>
        <w:t>•  Dung: 16–18 separate dung boluses per day; ~120 kg dung daily; important seed dispersal</w:t>
      </w:r>
    </w:p>
    <w:p>
      <w:pPr>
        <w:spacing w:after="40"/>
        <w:ind w:left="283" w:hanging="170"/>
      </w:pPr>
      <w:r>
        <w:rPr>
          <w:rFonts w:ascii="Calibri" w:hAnsi="Calibri"/>
          <w:color w:val="1A1A1A"/>
          <w:sz w:val="19"/>
        </w:rPr>
        <w:t>•  LIVER weight: 36–45 kg (Asian elephant); no gall bladder — bile drains directly into duodenum via multiple bile ducts</w:t>
      </w:r>
    </w:p>
    <w:p>
      <w:pPr>
        <w:pStyle w:val="Heading2"/>
        <w:spacing w:before="80" w:after="40"/>
      </w:pPr>
      <w:r>
        <w:t>10.2  Urinary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10.2  Urinary System</w:t>
            </w:r>
          </w:p>
        </w:tc>
      </w:tr>
    </w:tbl>
    <w:p>
      <w:pPr>
        <w:spacing w:after="40"/>
      </w:pPr>
    </w:p>
    <w:p>
      <w:pPr>
        <w:spacing w:after="40"/>
        <w:ind w:left="283" w:hanging="170"/>
      </w:pPr>
      <w:r>
        <w:rPr>
          <w:rFonts w:ascii="Calibri" w:hAnsi="Calibri"/>
          <w:color w:val="1A1A1A"/>
          <w:sz w:val="19"/>
        </w:rPr>
        <w:t>•  KIDNEYS: multipyramidal smooth kidneys (lobulated appearance, unlike smooth kidneys of most mammals; similar to cetaceans and bears)</w:t>
      </w:r>
    </w:p>
    <w:p>
      <w:pPr>
        <w:spacing w:after="40"/>
        <w:ind w:left="283" w:hanging="170"/>
      </w:pPr>
      <w:r>
        <w:rPr>
          <w:rFonts w:ascii="Calibri" w:hAnsi="Calibri"/>
          <w:color w:val="1A1A1A"/>
          <w:sz w:val="19"/>
        </w:rPr>
        <w:t>•  Small urinary bladder relative to body size</w:t>
      </w:r>
    </w:p>
    <w:p>
      <w:pPr>
        <w:spacing w:after="40"/>
        <w:ind w:left="283" w:hanging="170"/>
      </w:pPr>
      <w:r>
        <w:rPr>
          <w:rFonts w:ascii="Calibri" w:hAnsi="Calibri"/>
          <w:color w:val="1A1A1A"/>
          <w:sz w:val="19"/>
        </w:rPr>
        <w:t>•  Urine output: 10–15 urinations per day producing 6–18 litres total</w:t>
      </w:r>
    </w:p>
    <w:p>
      <w:pPr>
        <w:spacing w:after="40"/>
        <w:ind w:left="283" w:hanging="170"/>
      </w:pPr>
      <w:r>
        <w:rPr>
          <w:rFonts w:ascii="Calibri" w:hAnsi="Calibri"/>
          <w:color w:val="1A1A1A"/>
          <w:sz w:val="19"/>
        </w:rPr>
        <w:t>•  Urine during musth: continuously dribbled, often green-tinged (hormonal metabolites)</w:t>
      </w:r>
    </w:p>
    <w:p>
      <w:pPr>
        <w:pStyle w:val="Heading2"/>
        <w:spacing w:before="80" w:after="40"/>
      </w:pPr>
      <w:r>
        <w:t>10.3  Cardiovascular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10.3  Cardiovascular System</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3118"/>
            <w:shd w:val="clear" w:color="auto" w:fill="2D6A4F"/>
          </w:tcPr>
          <w:p>
            <w:pPr>
              <w:jc w:val="center"/>
            </w:pPr>
            <w:r>
              <w:rPr>
                <w:rFonts w:ascii="Calibri" w:hAnsi="Calibri"/>
                <w:b/>
                <w:color w:val="FFFFFF"/>
                <w:sz w:val="17"/>
              </w:rPr>
              <w:t>Parameter</w:t>
            </w:r>
          </w:p>
        </w:tc>
        <w:tc>
          <w:tcPr>
            <w:tcW w:type="dxa" w:w="6236"/>
            <w:shd w:val="clear" w:color="auto" w:fill="2D6A4F"/>
          </w:tcPr>
          <w:p>
            <w:pPr>
              <w:jc w:val="center"/>
            </w:pPr>
            <w:r>
              <w:rPr>
                <w:rFonts w:ascii="Calibri" w:hAnsi="Calibri"/>
                <w:b/>
                <w:color w:val="FFFFFF"/>
                <w:sz w:val="17"/>
              </w:rPr>
              <w:t>Value / Feature</w:t>
            </w:r>
          </w:p>
        </w:tc>
      </w:tr>
      <w:tr>
        <w:tc>
          <w:tcPr>
            <w:tcW w:type="dxa" w:w="3118"/>
            <w:shd w:val="clear" w:color="auto" w:fill="FFFFFF"/>
          </w:tcPr>
          <w:p>
            <w:r>
              <w:rPr>
                <w:rFonts w:ascii="Calibri" w:hAnsi="Calibri"/>
                <w:b w:val="0"/>
                <w:color w:val="1A1A1A"/>
                <w:sz w:val="17"/>
              </w:rPr>
              <w:t>Heart weight</w:t>
            </w:r>
          </w:p>
        </w:tc>
        <w:tc>
          <w:tcPr>
            <w:tcW w:type="dxa" w:w="6236"/>
            <w:shd w:val="clear" w:color="auto" w:fill="FFFFFF"/>
          </w:tcPr>
          <w:p>
            <w:r>
              <w:rPr>
                <w:rFonts w:ascii="Calibri" w:hAnsi="Calibri"/>
                <w:b w:val="0"/>
                <w:color w:val="1A1A1A"/>
                <w:sz w:val="17"/>
              </w:rPr>
              <w:t>12–21 kg (up to 30 lbs in large bulls)</w:t>
            </w:r>
          </w:p>
        </w:tc>
      </w:tr>
      <w:tr>
        <w:tc>
          <w:tcPr>
            <w:tcW w:type="dxa" w:w="3118"/>
            <w:shd w:val="clear" w:color="auto" w:fill="EAF7EE"/>
          </w:tcPr>
          <w:p>
            <w:r>
              <w:rPr>
                <w:rFonts w:ascii="Calibri" w:hAnsi="Calibri"/>
                <w:b w:val="0"/>
                <w:color w:val="1A1A1A"/>
                <w:sz w:val="17"/>
              </w:rPr>
              <w:t>Heart rate</w:t>
            </w:r>
          </w:p>
        </w:tc>
        <w:tc>
          <w:tcPr>
            <w:tcW w:type="dxa" w:w="6236"/>
            <w:shd w:val="clear" w:color="auto" w:fill="EAF7EE"/>
          </w:tcPr>
          <w:p>
            <w:r>
              <w:rPr>
                <w:rFonts w:ascii="Calibri" w:hAnsi="Calibri"/>
                <w:b w:val="0"/>
                <w:color w:val="1A1A1A"/>
                <w:sz w:val="17"/>
              </w:rPr>
              <w:t>~30 beats per minute (resting); slower in larger individuals</w:t>
            </w:r>
          </w:p>
        </w:tc>
      </w:tr>
      <w:tr>
        <w:tc>
          <w:tcPr>
            <w:tcW w:type="dxa" w:w="3118"/>
            <w:shd w:val="clear" w:color="auto" w:fill="FFFFFF"/>
          </w:tcPr>
          <w:p>
            <w:r>
              <w:rPr>
                <w:rFonts w:ascii="Calibri" w:hAnsi="Calibri"/>
                <w:b w:val="0"/>
                <w:color w:val="1A1A1A"/>
                <w:sz w:val="17"/>
              </w:rPr>
              <w:t>Apex shape</w:t>
            </w:r>
          </w:p>
        </w:tc>
        <w:tc>
          <w:tcPr>
            <w:tcW w:type="dxa" w:w="6236"/>
            <w:shd w:val="clear" w:color="auto" w:fill="FFFFFF"/>
          </w:tcPr>
          <w:p>
            <w:r>
              <w:rPr>
                <w:rFonts w:ascii="Calibri" w:hAnsi="Calibri"/>
                <w:b w:val="0"/>
                <w:color w:val="1A1A1A"/>
                <w:sz w:val="17"/>
              </w:rPr>
              <w:t>BIFID (double-pointed) apex — unique among living mammals</w:t>
            </w:r>
          </w:p>
        </w:tc>
      </w:tr>
      <w:tr>
        <w:tc>
          <w:tcPr>
            <w:tcW w:type="dxa" w:w="3118"/>
            <w:shd w:val="clear" w:color="auto" w:fill="EAF7EE"/>
          </w:tcPr>
          <w:p>
            <w:r>
              <w:rPr>
                <w:rFonts w:ascii="Calibri" w:hAnsi="Calibri"/>
                <w:b w:val="0"/>
                <w:color w:val="1A1A1A"/>
                <w:sz w:val="17"/>
              </w:rPr>
              <w:t>Position</w:t>
            </w:r>
          </w:p>
        </w:tc>
        <w:tc>
          <w:tcPr>
            <w:tcW w:type="dxa" w:w="6236"/>
            <w:shd w:val="clear" w:color="auto" w:fill="EAF7EE"/>
          </w:tcPr>
          <w:p>
            <w:r>
              <w:rPr>
                <w:rFonts w:ascii="Calibri" w:hAnsi="Calibri"/>
                <w:b w:val="0"/>
                <w:color w:val="1A1A1A"/>
                <w:sz w:val="17"/>
              </w:rPr>
              <w:t>Centrally located in thoracic cavity</w:t>
            </w:r>
          </w:p>
        </w:tc>
      </w:tr>
      <w:tr>
        <w:tc>
          <w:tcPr>
            <w:tcW w:type="dxa" w:w="3118"/>
            <w:shd w:val="clear" w:color="auto" w:fill="FFFFFF"/>
          </w:tcPr>
          <w:p>
            <w:r>
              <w:rPr>
                <w:rFonts w:ascii="Calibri" w:hAnsi="Calibri"/>
                <w:b w:val="0"/>
                <w:color w:val="1A1A1A"/>
                <w:sz w:val="17"/>
              </w:rPr>
              <w:t>Blood volume</w:t>
            </w:r>
          </w:p>
        </w:tc>
        <w:tc>
          <w:tcPr>
            <w:tcW w:type="dxa" w:w="6236"/>
            <w:shd w:val="clear" w:color="auto" w:fill="FFFFFF"/>
          </w:tcPr>
          <w:p>
            <w:r>
              <w:rPr>
                <w:rFonts w:ascii="Calibri" w:hAnsi="Calibri"/>
                <w:b w:val="0"/>
                <w:color w:val="1A1A1A"/>
                <w:sz w:val="17"/>
              </w:rPr>
              <w:t>~160 litres in a 5-tonne elephant</w:t>
            </w:r>
          </w:p>
        </w:tc>
      </w:tr>
    </w:tbl>
    <w:p>
      <w:pPr>
        <w:spacing w:after="40"/>
      </w:pPr>
    </w:p>
    <w:p>
      <w:pPr>
        <w:spacing w:after="40"/>
        <w:ind w:left="283" w:hanging="170"/>
      </w:pPr>
      <w:r>
        <w:rPr>
          <w:rFonts w:ascii="Calibri" w:hAnsi="Calibri"/>
          <w:color w:val="1A1A1A"/>
          <w:sz w:val="19"/>
        </w:rPr>
        <w:t>•  The BIFID apex (two-pointed heart) is a diagnostic finding at necropsy — do not mistake for pathological deformity</w:t>
      </w:r>
    </w:p>
    <w:p>
      <w:pPr>
        <w:spacing w:after="40"/>
        <w:ind w:left="283" w:hanging="170"/>
      </w:pPr>
      <w:r>
        <w:rPr>
          <w:rFonts w:ascii="Calibri" w:hAnsi="Calibri"/>
          <w:color w:val="1A1A1A"/>
          <w:sz w:val="19"/>
        </w:rPr>
        <w:t>•  Large blood vessels adapted for high-pressure, high-volume circulation</w:t>
      </w:r>
    </w:p>
    <w:p>
      <w:pPr>
        <w:pStyle w:val="Heading2"/>
        <w:spacing w:before="80" w:after="40"/>
      </w:pPr>
      <w:r>
        <w:t>10.4  Reproductive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10.4  Reproductive System</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Feature</w:t>
            </w:r>
          </w:p>
        </w:tc>
        <w:tc>
          <w:tcPr>
            <w:tcW w:type="dxa" w:w="3685"/>
            <w:shd w:val="clear" w:color="auto" w:fill="2D6A4F"/>
          </w:tcPr>
          <w:p>
            <w:pPr>
              <w:jc w:val="center"/>
            </w:pPr>
            <w:r>
              <w:rPr>
                <w:rFonts w:ascii="Calibri" w:hAnsi="Calibri"/>
                <w:b/>
                <w:color w:val="FFFFFF"/>
                <w:sz w:val="17"/>
              </w:rPr>
              <w:t>Male</w:t>
            </w:r>
          </w:p>
        </w:tc>
        <w:tc>
          <w:tcPr>
            <w:tcW w:type="dxa" w:w="3402"/>
            <w:shd w:val="clear" w:color="auto" w:fill="2D6A4F"/>
          </w:tcPr>
          <w:p>
            <w:pPr>
              <w:jc w:val="center"/>
            </w:pPr>
            <w:r>
              <w:rPr>
                <w:rFonts w:ascii="Calibri" w:hAnsi="Calibri"/>
                <w:b/>
                <w:color w:val="FFFFFF"/>
                <w:sz w:val="17"/>
              </w:rPr>
              <w:t>Female</w:t>
            </w:r>
          </w:p>
        </w:tc>
      </w:tr>
      <w:tr>
        <w:tc>
          <w:tcPr>
            <w:tcW w:type="dxa" w:w="2268"/>
            <w:shd w:val="clear" w:color="auto" w:fill="FFFFFF"/>
          </w:tcPr>
          <w:p>
            <w:r>
              <w:rPr>
                <w:rFonts w:ascii="Calibri" w:hAnsi="Calibri"/>
                <w:b w:val="0"/>
                <w:color w:val="1A1A1A"/>
                <w:sz w:val="17"/>
              </w:rPr>
              <w:t>Testes</w:t>
            </w:r>
          </w:p>
        </w:tc>
        <w:tc>
          <w:tcPr>
            <w:tcW w:type="dxa" w:w="3685"/>
            <w:shd w:val="clear" w:color="auto" w:fill="FFFFFF"/>
          </w:tcPr>
          <w:p>
            <w:r>
              <w:rPr>
                <w:rFonts w:ascii="Calibri" w:hAnsi="Calibri"/>
                <w:b w:val="0"/>
                <w:color w:val="1A1A1A"/>
                <w:sz w:val="17"/>
              </w:rPr>
              <w:t>INTRAABDOMINAL — never descend; located near kidneys</w:t>
            </w:r>
          </w:p>
        </w:tc>
        <w:tc>
          <w:tcPr>
            <w:tcW w:type="dxa" w:w="3402"/>
            <w:shd w:val="clear" w:color="auto" w:fill="FFFFFF"/>
          </w:tcPr>
          <w:p>
            <w:r>
              <w:rPr>
                <w:rFonts w:ascii="Calibri" w:hAnsi="Calibri"/>
                <w:b w:val="0"/>
                <w:color w:val="1A1A1A"/>
                <w:sz w:val="17"/>
              </w:rPr>
              <w:t>Two ovaries; cyclical ovarian activity</w:t>
            </w:r>
          </w:p>
        </w:tc>
      </w:tr>
      <w:tr>
        <w:tc>
          <w:tcPr>
            <w:tcW w:type="dxa" w:w="2268"/>
            <w:shd w:val="clear" w:color="auto" w:fill="EAF7EE"/>
          </w:tcPr>
          <w:p>
            <w:r>
              <w:rPr>
                <w:rFonts w:ascii="Calibri" w:hAnsi="Calibri"/>
                <w:b w:val="0"/>
                <w:color w:val="1A1A1A"/>
                <w:sz w:val="17"/>
              </w:rPr>
              <w:t>External genitalia</w:t>
            </w:r>
          </w:p>
        </w:tc>
        <w:tc>
          <w:tcPr>
            <w:tcW w:type="dxa" w:w="3685"/>
            <w:shd w:val="clear" w:color="auto" w:fill="EAF7EE"/>
          </w:tcPr>
          <w:p>
            <w:r>
              <w:rPr>
                <w:rFonts w:ascii="Calibri" w:hAnsi="Calibri"/>
                <w:b w:val="0"/>
                <w:color w:val="1A1A1A"/>
                <w:sz w:val="17"/>
              </w:rPr>
              <w:t>No scrotum; penis sheathed ventrally, becomes S-shaped when erect</w:t>
            </w:r>
          </w:p>
        </w:tc>
        <w:tc>
          <w:tcPr>
            <w:tcW w:type="dxa" w:w="3402"/>
            <w:shd w:val="clear" w:color="auto" w:fill="EAF7EE"/>
          </w:tcPr>
          <w:p>
            <w:r>
              <w:rPr>
                <w:rFonts w:ascii="Calibri" w:hAnsi="Calibri"/>
                <w:b w:val="0"/>
                <w:color w:val="1A1A1A"/>
                <w:sz w:val="17"/>
              </w:rPr>
              <w:t>Vulva located ventrally, far forward toward hindlegs</w:t>
            </w:r>
          </w:p>
        </w:tc>
      </w:tr>
      <w:tr>
        <w:tc>
          <w:tcPr>
            <w:tcW w:type="dxa" w:w="2268"/>
            <w:shd w:val="clear" w:color="auto" w:fill="FFFFFF"/>
          </w:tcPr>
          <w:p>
            <w:r>
              <w:rPr>
                <w:rFonts w:ascii="Calibri" w:hAnsi="Calibri"/>
                <w:b w:val="0"/>
                <w:color w:val="1A1A1A"/>
                <w:sz w:val="17"/>
              </w:rPr>
              <w:t>Uterus</w:t>
            </w:r>
          </w:p>
        </w:tc>
        <w:tc>
          <w:tcPr>
            <w:tcW w:type="dxa" w:w="3685"/>
            <w:shd w:val="clear" w:color="auto" w:fill="FFFFFF"/>
          </w:tcPr>
          <w:p>
            <w:r>
              <w:rPr>
                <w:rFonts w:ascii="Calibri" w:hAnsi="Calibri"/>
                <w:b w:val="0"/>
                <w:color w:val="1A1A1A"/>
                <w:sz w:val="17"/>
              </w:rPr>
              <w:t>—</w:t>
            </w:r>
          </w:p>
        </w:tc>
        <w:tc>
          <w:tcPr>
            <w:tcW w:type="dxa" w:w="3402"/>
            <w:shd w:val="clear" w:color="auto" w:fill="FFFFFF"/>
          </w:tcPr>
          <w:p>
            <w:r>
              <w:rPr>
                <w:rFonts w:ascii="Calibri" w:hAnsi="Calibri"/>
                <w:b w:val="0"/>
                <w:color w:val="1A1A1A"/>
                <w:sz w:val="17"/>
              </w:rPr>
              <w:t>Bicornuate (two-horned) uterus</w:t>
            </w:r>
          </w:p>
        </w:tc>
      </w:tr>
      <w:tr>
        <w:tc>
          <w:tcPr>
            <w:tcW w:type="dxa" w:w="2268"/>
            <w:shd w:val="clear" w:color="auto" w:fill="EAF7EE"/>
          </w:tcPr>
          <w:p>
            <w:r>
              <w:rPr>
                <w:rFonts w:ascii="Calibri" w:hAnsi="Calibri"/>
                <w:b w:val="0"/>
                <w:color w:val="1A1A1A"/>
                <w:sz w:val="17"/>
              </w:rPr>
              <w:t>Gestation</w:t>
            </w:r>
          </w:p>
        </w:tc>
        <w:tc>
          <w:tcPr>
            <w:tcW w:type="dxa" w:w="3685"/>
            <w:shd w:val="clear" w:color="auto" w:fill="EAF7EE"/>
          </w:tcPr>
          <w:p>
            <w:r>
              <w:rPr>
                <w:rFonts w:ascii="Calibri" w:hAnsi="Calibri"/>
                <w:b w:val="0"/>
                <w:color w:val="1A1A1A"/>
                <w:sz w:val="17"/>
              </w:rPr>
              <w:t>—</w:t>
            </w:r>
          </w:p>
        </w:tc>
        <w:tc>
          <w:tcPr>
            <w:tcW w:type="dxa" w:w="3402"/>
            <w:shd w:val="clear" w:color="auto" w:fill="EAF7EE"/>
          </w:tcPr>
          <w:p>
            <w:r>
              <w:rPr>
                <w:rFonts w:ascii="Calibri" w:hAnsi="Calibri"/>
                <w:b w:val="0"/>
                <w:color w:val="1A1A1A"/>
                <w:sz w:val="17"/>
              </w:rPr>
              <w:t>~22 months (longest of any land mammal)</w:t>
            </w:r>
          </w:p>
        </w:tc>
      </w:tr>
      <w:tr>
        <w:tc>
          <w:tcPr>
            <w:tcW w:type="dxa" w:w="2268"/>
            <w:shd w:val="clear" w:color="auto" w:fill="FFFFFF"/>
          </w:tcPr>
          <w:p>
            <w:r>
              <w:rPr>
                <w:rFonts w:ascii="Calibri" w:hAnsi="Calibri"/>
                <w:b w:val="0"/>
                <w:color w:val="1A1A1A"/>
                <w:sz w:val="17"/>
              </w:rPr>
              <w:t>Interbirth interval</w:t>
            </w:r>
          </w:p>
        </w:tc>
        <w:tc>
          <w:tcPr>
            <w:tcW w:type="dxa" w:w="3685"/>
            <w:shd w:val="clear" w:color="auto" w:fill="FFFFFF"/>
          </w:tcPr>
          <w:p>
            <w:r>
              <w:rPr>
                <w:rFonts w:ascii="Calibri" w:hAnsi="Calibri"/>
                <w:b w:val="0"/>
                <w:color w:val="1A1A1A"/>
                <w:sz w:val="17"/>
              </w:rPr>
              <w:t>—</w:t>
            </w:r>
          </w:p>
        </w:tc>
        <w:tc>
          <w:tcPr>
            <w:tcW w:type="dxa" w:w="3402"/>
            <w:shd w:val="clear" w:color="auto" w:fill="FFFFFF"/>
          </w:tcPr>
          <w:p>
            <w:r>
              <w:rPr>
                <w:rFonts w:ascii="Calibri" w:hAnsi="Calibri"/>
                <w:b w:val="0"/>
                <w:color w:val="1A1A1A"/>
                <w:sz w:val="17"/>
              </w:rPr>
              <w:t>4–5 years (lactational anoestrus)</w:t>
            </w:r>
          </w:p>
        </w:tc>
      </w:tr>
      <w:tr>
        <w:tc>
          <w:tcPr>
            <w:tcW w:type="dxa" w:w="2268"/>
            <w:shd w:val="clear" w:color="auto" w:fill="EAF7EE"/>
          </w:tcPr>
          <w:p>
            <w:r>
              <w:rPr>
                <w:rFonts w:ascii="Calibri" w:hAnsi="Calibri"/>
                <w:b w:val="0"/>
                <w:color w:val="1A1A1A"/>
                <w:sz w:val="17"/>
              </w:rPr>
              <w:t>Sexual maturity</w:t>
            </w:r>
          </w:p>
        </w:tc>
        <w:tc>
          <w:tcPr>
            <w:tcW w:type="dxa" w:w="3685"/>
            <w:shd w:val="clear" w:color="auto" w:fill="EAF7EE"/>
          </w:tcPr>
          <w:p>
            <w:r>
              <w:rPr>
                <w:rFonts w:ascii="Calibri" w:hAnsi="Calibri"/>
                <w:b w:val="0"/>
                <w:color w:val="1A1A1A"/>
                <w:sz w:val="17"/>
              </w:rPr>
              <w:t>10–15 years</w:t>
            </w:r>
          </w:p>
        </w:tc>
        <w:tc>
          <w:tcPr>
            <w:tcW w:type="dxa" w:w="3402"/>
            <w:shd w:val="clear" w:color="auto" w:fill="EAF7EE"/>
          </w:tcPr>
          <w:p>
            <w:r>
              <w:rPr>
                <w:rFonts w:ascii="Calibri" w:hAnsi="Calibri"/>
                <w:b w:val="0"/>
                <w:color w:val="1A1A1A"/>
                <w:sz w:val="17"/>
              </w:rPr>
              <w:t>8–12 years</w:t>
            </w:r>
          </w:p>
        </w:tc>
      </w:tr>
    </w:tbl>
    <w:p>
      <w:pPr>
        <w:spacing w:after="40"/>
      </w:pPr>
    </w:p>
    <w:p>
      <w:pPr>
        <w:spacing w:after="40"/>
        <w:ind w:left="283" w:hanging="170"/>
      </w:pPr>
      <w:r>
        <w:rPr>
          <w:rFonts w:ascii="Calibri" w:hAnsi="Calibri"/>
          <w:color w:val="1A1A1A"/>
          <w:sz w:val="19"/>
        </w:rPr>
        <w:t>•  Intraabdominal testes: important necropsy note — do not confuse with other intra-abdominal structures; testes are located retroperitoneally near the kidneys</w:t>
      </w:r>
    </w:p>
    <w:p>
      <w:pPr>
        <w:pStyle w:val="Heading2"/>
        <w:spacing w:before="80" w:after="40"/>
      </w:pPr>
      <w:r>
        <w:t>10.5  Brain &amp; Nervous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10.5  Brain &amp; Nervous System</w:t>
            </w:r>
          </w:p>
        </w:tc>
      </w:tr>
    </w:tbl>
    <w:p>
      <w:pPr>
        <w:spacing w:after="40"/>
      </w:pPr>
    </w:p>
    <w:p>
      <w:pPr>
        <w:spacing w:after="80"/>
        <w:jc w:val="left"/>
      </w:pPr>
      <w:r>
        <w:rPr>
          <w:rFonts w:ascii="Calibri" w:hAnsi="Calibri"/>
          <w:b w:val="0"/>
          <w:i w:val="0"/>
          <w:color w:val="1A1A1A"/>
          <w:sz w:val="19"/>
        </w:rPr>
        <w:t>The elephant has the largest brain of any living land animal, with remarkable cognitive capabilities:</w:t>
      </w: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Feature</w:t>
            </w:r>
          </w:p>
        </w:tc>
        <w:tc>
          <w:tcPr>
            <w:tcW w:type="dxa" w:w="3402"/>
            <w:shd w:val="clear" w:color="auto" w:fill="2D6A4F"/>
          </w:tcPr>
          <w:p>
            <w:pPr>
              <w:jc w:val="center"/>
            </w:pPr>
            <w:r>
              <w:rPr>
                <w:rFonts w:ascii="Calibri" w:hAnsi="Calibri"/>
                <w:b/>
                <w:color w:val="FFFFFF"/>
                <w:sz w:val="17"/>
              </w:rPr>
              <w:t>Elephant</w:t>
            </w:r>
          </w:p>
        </w:tc>
        <w:tc>
          <w:tcPr>
            <w:tcW w:type="dxa" w:w="3118"/>
            <w:shd w:val="clear" w:color="auto" w:fill="2D6A4F"/>
          </w:tcPr>
          <w:p>
            <w:pPr>
              <w:jc w:val="center"/>
            </w:pPr>
            <w:r>
              <w:rPr>
                <w:rFonts w:ascii="Calibri" w:hAnsi="Calibri"/>
                <w:b/>
                <w:color w:val="FFFFFF"/>
                <w:sz w:val="17"/>
              </w:rPr>
              <w:t>Human (comparison)</w:t>
            </w:r>
          </w:p>
        </w:tc>
      </w:tr>
      <w:tr>
        <w:tc>
          <w:tcPr>
            <w:tcW w:type="dxa" w:w="2835"/>
            <w:shd w:val="clear" w:color="auto" w:fill="FFFFFF"/>
          </w:tcPr>
          <w:p>
            <w:r>
              <w:rPr>
                <w:rFonts w:ascii="Calibri" w:hAnsi="Calibri"/>
                <w:b w:val="0"/>
                <w:color w:val="1A1A1A"/>
                <w:sz w:val="17"/>
              </w:rPr>
              <w:t>Brain weight</w:t>
            </w:r>
          </w:p>
        </w:tc>
        <w:tc>
          <w:tcPr>
            <w:tcW w:type="dxa" w:w="3402"/>
            <w:shd w:val="clear" w:color="auto" w:fill="FFFFFF"/>
          </w:tcPr>
          <w:p>
            <w:r>
              <w:rPr>
                <w:rFonts w:ascii="Calibri" w:hAnsi="Calibri"/>
                <w:b w:val="0"/>
                <w:color w:val="1A1A1A"/>
                <w:sz w:val="17"/>
              </w:rPr>
              <w:t>3.5–5.5 kg</w:t>
            </w:r>
          </w:p>
        </w:tc>
        <w:tc>
          <w:tcPr>
            <w:tcW w:type="dxa" w:w="3118"/>
            <w:shd w:val="clear" w:color="auto" w:fill="FFFFFF"/>
          </w:tcPr>
          <w:p>
            <w:r>
              <w:rPr>
                <w:rFonts w:ascii="Calibri" w:hAnsi="Calibri"/>
                <w:b w:val="0"/>
                <w:color w:val="1A1A1A"/>
                <w:sz w:val="17"/>
              </w:rPr>
              <w:t>~1.4 kg</w:t>
            </w:r>
          </w:p>
        </w:tc>
      </w:tr>
      <w:tr>
        <w:tc>
          <w:tcPr>
            <w:tcW w:type="dxa" w:w="2835"/>
            <w:shd w:val="clear" w:color="auto" w:fill="EAF7EE"/>
          </w:tcPr>
          <w:p>
            <w:r>
              <w:rPr>
                <w:rFonts w:ascii="Calibri" w:hAnsi="Calibri"/>
                <w:b w:val="0"/>
                <w:color w:val="1A1A1A"/>
                <w:sz w:val="17"/>
              </w:rPr>
              <w:t>Total neurons</w:t>
            </w:r>
          </w:p>
        </w:tc>
        <w:tc>
          <w:tcPr>
            <w:tcW w:type="dxa" w:w="3402"/>
            <w:shd w:val="clear" w:color="auto" w:fill="EAF7EE"/>
          </w:tcPr>
          <w:p>
            <w:r>
              <w:rPr>
                <w:rFonts w:ascii="Calibri" w:hAnsi="Calibri"/>
                <w:b w:val="0"/>
                <w:color w:val="1A1A1A"/>
                <w:sz w:val="17"/>
              </w:rPr>
              <w:t>~257 billion (African elephant)</w:t>
            </w:r>
          </w:p>
        </w:tc>
        <w:tc>
          <w:tcPr>
            <w:tcW w:type="dxa" w:w="3118"/>
            <w:shd w:val="clear" w:color="auto" w:fill="EAF7EE"/>
          </w:tcPr>
          <w:p>
            <w:r>
              <w:rPr>
                <w:rFonts w:ascii="Calibri" w:hAnsi="Calibri"/>
                <w:b w:val="0"/>
                <w:color w:val="1A1A1A"/>
                <w:sz w:val="17"/>
              </w:rPr>
              <w:t>~86 billion</w:t>
            </w:r>
          </w:p>
        </w:tc>
      </w:tr>
      <w:tr>
        <w:tc>
          <w:tcPr>
            <w:tcW w:type="dxa" w:w="2835"/>
            <w:shd w:val="clear" w:color="auto" w:fill="FFFFFF"/>
          </w:tcPr>
          <w:p>
            <w:r>
              <w:rPr>
                <w:rFonts w:ascii="Calibri" w:hAnsi="Calibri"/>
                <w:b w:val="0"/>
                <w:color w:val="1A1A1A"/>
                <w:sz w:val="17"/>
              </w:rPr>
              <w:t>Cortical neurons</w:t>
            </w:r>
          </w:p>
        </w:tc>
        <w:tc>
          <w:tcPr>
            <w:tcW w:type="dxa" w:w="3402"/>
            <w:shd w:val="clear" w:color="auto" w:fill="FFFFFF"/>
          </w:tcPr>
          <w:p>
            <w:r>
              <w:rPr>
                <w:rFonts w:ascii="Calibri" w:hAnsi="Calibri"/>
                <w:b w:val="0"/>
                <w:color w:val="1A1A1A"/>
                <w:sz w:val="17"/>
              </w:rPr>
              <w:t>~5.6 billion (cerebral cortex)</w:t>
            </w:r>
          </w:p>
        </w:tc>
        <w:tc>
          <w:tcPr>
            <w:tcW w:type="dxa" w:w="3118"/>
            <w:shd w:val="clear" w:color="auto" w:fill="FFFFFF"/>
          </w:tcPr>
          <w:p>
            <w:r>
              <w:rPr>
                <w:rFonts w:ascii="Calibri" w:hAnsi="Calibri"/>
                <w:b w:val="0"/>
                <w:color w:val="1A1A1A"/>
                <w:sz w:val="17"/>
              </w:rPr>
              <w:t>~16 billion</w:t>
            </w:r>
          </w:p>
        </w:tc>
      </w:tr>
      <w:tr>
        <w:tc>
          <w:tcPr>
            <w:tcW w:type="dxa" w:w="2835"/>
            <w:shd w:val="clear" w:color="auto" w:fill="EAF7EE"/>
          </w:tcPr>
          <w:p>
            <w:r>
              <w:rPr>
                <w:rFonts w:ascii="Calibri" w:hAnsi="Calibri"/>
                <w:b w:val="0"/>
                <w:color w:val="1A1A1A"/>
                <w:sz w:val="17"/>
              </w:rPr>
              <w:t>Cerebellar neurons</w:t>
            </w:r>
          </w:p>
        </w:tc>
        <w:tc>
          <w:tcPr>
            <w:tcW w:type="dxa" w:w="3402"/>
            <w:shd w:val="clear" w:color="auto" w:fill="EAF7EE"/>
          </w:tcPr>
          <w:p>
            <w:r>
              <w:rPr>
                <w:rFonts w:ascii="Calibri" w:hAnsi="Calibri"/>
                <w:b w:val="0"/>
                <w:color w:val="1A1A1A"/>
                <w:sz w:val="17"/>
              </w:rPr>
              <w:t>97.5% of all neurons in cerebellum</w:t>
            </w:r>
          </w:p>
        </w:tc>
        <w:tc>
          <w:tcPr>
            <w:tcW w:type="dxa" w:w="3118"/>
            <w:shd w:val="clear" w:color="auto" w:fill="EAF7EE"/>
          </w:tcPr>
          <w:p>
            <w:r>
              <w:rPr>
                <w:rFonts w:ascii="Calibri" w:hAnsi="Calibri"/>
                <w:b w:val="0"/>
                <w:color w:val="1A1A1A"/>
                <w:sz w:val="17"/>
              </w:rPr>
              <w:t>Less than 80%</w:t>
            </w:r>
          </w:p>
        </w:tc>
      </w:tr>
      <w:tr>
        <w:tc>
          <w:tcPr>
            <w:tcW w:type="dxa" w:w="2835"/>
            <w:shd w:val="clear" w:color="auto" w:fill="FFFFFF"/>
          </w:tcPr>
          <w:p>
            <w:r>
              <w:rPr>
                <w:rFonts w:ascii="Calibri" w:hAnsi="Calibri"/>
                <w:b w:val="0"/>
                <w:color w:val="1A1A1A"/>
                <w:sz w:val="17"/>
              </w:rPr>
              <w:t>Temporal lobes</w:t>
            </w:r>
          </w:p>
        </w:tc>
        <w:tc>
          <w:tcPr>
            <w:tcW w:type="dxa" w:w="3402"/>
            <w:shd w:val="clear" w:color="auto" w:fill="FFFFFF"/>
          </w:tcPr>
          <w:p>
            <w:r>
              <w:rPr>
                <w:rFonts w:ascii="Calibri" w:hAnsi="Calibri"/>
                <w:b w:val="0"/>
                <w:color w:val="1A1A1A"/>
                <w:sz w:val="17"/>
              </w:rPr>
              <w:t>Disproportionately large — largest of any mammal</w:t>
            </w:r>
          </w:p>
        </w:tc>
        <w:tc>
          <w:tcPr>
            <w:tcW w:type="dxa" w:w="3118"/>
            <w:shd w:val="clear" w:color="auto" w:fill="FFFFFF"/>
          </w:tcPr>
          <w:p>
            <w:r>
              <w:rPr>
                <w:rFonts w:ascii="Calibri" w:hAnsi="Calibri"/>
                <w:b w:val="0"/>
                <w:color w:val="1A1A1A"/>
                <w:sz w:val="17"/>
              </w:rPr>
              <w:t>Prominent but relatively smaller</w:t>
            </w:r>
          </w:p>
        </w:tc>
      </w:tr>
      <w:tr>
        <w:tc>
          <w:tcPr>
            <w:tcW w:type="dxa" w:w="2835"/>
            <w:shd w:val="clear" w:color="auto" w:fill="EAF7EE"/>
          </w:tcPr>
          <w:p>
            <w:r>
              <w:rPr>
                <w:rFonts w:ascii="Calibri" w:hAnsi="Calibri"/>
                <w:b w:val="0"/>
                <w:color w:val="1A1A1A"/>
                <w:sz w:val="17"/>
              </w:rPr>
              <w:t>Olfactory bulbs</w:t>
            </w:r>
          </w:p>
        </w:tc>
        <w:tc>
          <w:tcPr>
            <w:tcW w:type="dxa" w:w="3402"/>
            <w:shd w:val="clear" w:color="auto" w:fill="EAF7EE"/>
          </w:tcPr>
          <w:p>
            <w:r>
              <w:rPr>
                <w:rFonts w:ascii="Calibri" w:hAnsi="Calibri"/>
                <w:b w:val="0"/>
                <w:color w:val="1A1A1A"/>
                <w:sz w:val="17"/>
              </w:rPr>
              <w:t>Very large — highest density of olfactory receptors of any mammal</w:t>
            </w:r>
          </w:p>
        </w:tc>
        <w:tc>
          <w:tcPr>
            <w:tcW w:type="dxa" w:w="3118"/>
            <w:shd w:val="clear" w:color="auto" w:fill="EAF7EE"/>
          </w:tcPr>
          <w:p>
            <w:r>
              <w:rPr>
                <w:rFonts w:ascii="Calibri" w:hAnsi="Calibri"/>
                <w:b w:val="0"/>
                <w:color w:val="1A1A1A"/>
                <w:sz w:val="17"/>
              </w:rPr>
              <w:t>Relatively small</w:t>
            </w:r>
          </w:p>
        </w:tc>
      </w:tr>
      <w:tr>
        <w:tc>
          <w:tcPr>
            <w:tcW w:type="dxa" w:w="2835"/>
            <w:shd w:val="clear" w:color="auto" w:fill="FFFFFF"/>
          </w:tcPr>
          <w:p>
            <w:r>
              <w:rPr>
                <w:rFonts w:ascii="Calibri" w:hAnsi="Calibri"/>
                <w:b w:val="0"/>
                <w:color w:val="1A1A1A"/>
                <w:sz w:val="17"/>
              </w:rPr>
              <w:t>Self-recognition</w:t>
            </w:r>
          </w:p>
        </w:tc>
        <w:tc>
          <w:tcPr>
            <w:tcW w:type="dxa" w:w="3402"/>
            <w:shd w:val="clear" w:color="auto" w:fill="FFFFFF"/>
          </w:tcPr>
          <w:p>
            <w:r>
              <w:rPr>
                <w:rFonts w:ascii="Calibri" w:hAnsi="Calibri"/>
                <w:b w:val="0"/>
                <w:color w:val="1A1A1A"/>
                <w:sz w:val="17"/>
              </w:rPr>
              <w:t>Passes mirror test (MSR)</w:t>
            </w:r>
          </w:p>
        </w:tc>
        <w:tc>
          <w:tcPr>
            <w:tcW w:type="dxa" w:w="3118"/>
            <w:shd w:val="clear" w:color="auto" w:fill="FFFFFF"/>
          </w:tcPr>
          <w:p>
            <w:r>
              <w:rPr>
                <w:rFonts w:ascii="Calibri" w:hAnsi="Calibri"/>
                <w:b w:val="0"/>
                <w:color w:val="1A1A1A"/>
                <w:sz w:val="17"/>
              </w:rPr>
              <w:t>Yes</w:t>
            </w:r>
          </w:p>
        </w:tc>
      </w:tr>
    </w:tbl>
    <w:p>
      <w:pPr>
        <w:spacing w:after="40"/>
      </w:pPr>
    </w:p>
    <w:p>
      <w:pPr>
        <w:spacing w:after="40"/>
        <w:ind w:left="283" w:hanging="170"/>
      </w:pPr>
      <w:r>
        <w:rPr>
          <w:rFonts w:ascii="Calibri" w:hAnsi="Calibri"/>
          <w:color w:val="1A1A1A"/>
          <w:sz w:val="19"/>
        </w:rPr>
        <w:t>•  Brain is gyrated (deeply folded) — increases surface area for neuronal density</w:t>
      </w:r>
    </w:p>
    <w:p>
      <w:pPr>
        <w:spacing w:after="40"/>
        <w:ind w:left="283" w:hanging="170"/>
      </w:pPr>
      <w:r>
        <w:rPr>
          <w:rFonts w:ascii="Calibri" w:hAnsi="Calibri"/>
          <w:color w:val="1A1A1A"/>
          <w:sz w:val="19"/>
        </w:rPr>
        <w:t>•  Prominent temporal lobes: associated with auditory processing, long-term memory, and spatial navigation</w:t>
      </w:r>
    </w:p>
    <w:p>
      <w:pPr>
        <w:spacing w:after="40"/>
        <w:ind w:left="283" w:hanging="170"/>
      </w:pPr>
      <w:r>
        <w:rPr>
          <w:rFonts w:ascii="Calibri" w:hAnsi="Calibri"/>
          <w:color w:val="1A1A1A"/>
          <w:sz w:val="19"/>
        </w:rPr>
        <w:t>•  Documented cognitive abilities: tool use, problem-solving, empathy, cooperation, mourning rituals, social memory spanning decades</w:t>
      </w:r>
    </w:p>
    <w:p>
      <w:pPr>
        <w:pStyle w:val="Heading2"/>
        <w:spacing w:before="80" w:after="40"/>
      </w:pPr>
      <w:r>
        <w:t>10.6  Respiratory System</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10.6  Respiratory System</w:t>
            </w:r>
          </w:p>
        </w:tc>
      </w:tr>
    </w:tbl>
    <w:p>
      <w:pPr>
        <w:spacing w:after="40"/>
      </w:pPr>
    </w:p>
    <w:p>
      <w:pPr>
        <w:spacing w:after="40"/>
        <w:ind w:left="283" w:hanging="170"/>
      </w:pPr>
      <w:r>
        <w:rPr>
          <w:rFonts w:ascii="Calibri" w:hAnsi="Calibri"/>
          <w:color w:val="1A1A1A"/>
          <w:sz w:val="19"/>
        </w:rPr>
        <w:t>•  THE ONLY MAMMAL with no true pleural space (see Section 5.2 for details)</w:t>
      </w:r>
    </w:p>
    <w:p>
      <w:pPr>
        <w:spacing w:after="40"/>
        <w:ind w:left="283" w:hanging="170"/>
      </w:pPr>
      <w:r>
        <w:rPr>
          <w:rFonts w:ascii="Calibri" w:hAnsi="Calibri"/>
          <w:color w:val="1A1A1A"/>
          <w:sz w:val="19"/>
        </w:rPr>
        <w:t>•  Visceral pleura adhered to parietal pleura via dense connective tissue — lungs are glued to the chest wall</w:t>
      </w:r>
    </w:p>
    <w:p>
      <w:pPr>
        <w:spacing w:after="40"/>
        <w:ind w:left="283" w:hanging="170"/>
      </w:pPr>
      <w:r>
        <w:rPr>
          <w:rFonts w:ascii="Calibri" w:hAnsi="Calibri"/>
          <w:color w:val="1A1A1A"/>
          <w:sz w:val="19"/>
        </w:rPr>
        <w:t>•  Breathing driven entirely by diaphragm movement (very thick diaphragm)</w:t>
      </w:r>
    </w:p>
    <w:p>
      <w:pPr>
        <w:spacing w:after="40"/>
        <w:ind w:left="283" w:hanging="170"/>
      </w:pPr>
      <w:r>
        <w:rPr>
          <w:rFonts w:ascii="Calibri" w:hAnsi="Calibri"/>
          <w:color w:val="1A1A1A"/>
          <w:sz w:val="19"/>
        </w:rPr>
        <w:t>•  Trachea: large-diameter; connects to two large-volume lungs in the thoracic cavity</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KEY INTERNAL ORGAN SUMMARY FOR NECROPSY:</w:t>
              <w:br/>
              <w:t>• No gall bladder (direct bile duct drainage)  •  Intraabdominal testes (no scrotum)</w:t>
              <w:br/>
              <w:t>• Bifid (double-pointed) heart apex  •  No true pleural cavity</w:t>
              <w:br/>
              <w:t>• Multipyramidal lobulated kidneys  •  35 m intestinal length</w:t>
              <w:br/>
              <w:t>• Hindgut fermentation (not ruminant)  •  22-month gestation in females</w:t>
              <w:br/>
              <w:t>• Brain weight 3.5–5.5 kg with prominent temporal lobes</w:t>
            </w:r>
          </w:p>
        </w:tc>
      </w:tr>
    </w:tbl>
    <w:p>
      <w:pPr>
        <w:spacing w:after="40"/>
      </w:pPr>
    </w:p>
    <w:p/>
    <w:p>
      <w:pPr>
        <w:spacing w:before="0" w:after="0"/>
      </w:pPr>
      <w:r>
        <w:br w:type="page"/>
      </w:r>
    </w:p>
    <w:p>
      <w:pPr>
        <w:pStyle w:val="Heading1"/>
        <w:spacing w:before="160" w:after="40"/>
      </w:pPr>
      <w:r>
        <w:t>11.  Field Estimation of Height &amp; Weight</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11.  Field Estimation of Height &amp; Weight</w:t>
            </w:r>
          </w:p>
        </w:tc>
      </w:tr>
    </w:tbl>
    <w:p>
      <w:pPr>
        <w:spacing w:after="40"/>
      </w:pPr>
    </w:p>
    <w:p>
      <w:pPr>
        <w:spacing w:before="80" w:after="40"/>
        <w:jc w:val="center"/>
      </w:pPr>
      <w:r>
        <w:drawing>
          <wp:inline xmlns:a="http://schemas.openxmlformats.org/drawingml/2006/main" xmlns:pic="http://schemas.openxmlformats.org/drawingml/2006/picture">
            <wp:extent cx="5040000" cy="3104348"/>
            <wp:docPr id="21" name="Picture 21"/>
            <wp:cNvGraphicFramePr>
              <a:graphicFrameLocks noChangeAspect="1"/>
            </wp:cNvGraphicFramePr>
            <a:graphic>
              <a:graphicData uri="http://schemas.openxmlformats.org/drawingml/2006/picture">
                <pic:pic>
                  <pic:nvPicPr>
                    <pic:cNvPr id="0" name="slide_21.png"/>
                    <pic:cNvPicPr/>
                  </pic:nvPicPr>
                  <pic:blipFill>
                    <a:blip r:embed="rId29"/>
                    <a:stretch>
                      <a:fillRect/>
                    </a:stretch>
                  </pic:blipFill>
                  <pic:spPr>
                    <a:xfrm>
                      <a:off x="0" y="0"/>
                      <a:ext cx="5040000" cy="3104348"/>
                    </a:xfrm>
                    <a:prstGeom prst="rect"/>
                  </pic:spPr>
                </pic:pic>
              </a:graphicData>
            </a:graphic>
          </wp:inline>
        </w:drawing>
      </w:r>
    </w:p>
    <w:p>
      <w:pPr>
        <w:spacing w:after="120"/>
        <w:jc w:val="center"/>
      </w:pPr>
      <w:r>
        <w:rPr>
          <w:rFonts w:ascii="Calibri" w:hAnsi="Calibri"/>
          <w:i/>
          <w:color w:val="555555"/>
          <w:sz w:val="16"/>
        </w:rPr>
        <w:t>Slide 21 — Assessing height using front foot circumference</w:t>
      </w:r>
    </w:p>
    <w:p>
      <w:pPr>
        <w:spacing w:before="80" w:after="4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slide_22.png"/>
                    <pic:cNvPicPr/>
                  </pic:nvPicPr>
                  <pic:blipFill>
                    <a:blip r:embed="rId30"/>
                    <a:stretch>
                      <a:fillRect/>
                    </a:stretch>
                  </pic:blipFill>
                  <pic:spPr>
                    <a:xfrm>
                      <a:off x="0" y="0"/>
                      <a:ext cx="5040000" cy="3150000"/>
                    </a:xfrm>
                    <a:prstGeom prst="rect"/>
                  </pic:spPr>
                </pic:pic>
              </a:graphicData>
            </a:graphic>
          </wp:inline>
        </w:drawing>
      </w:r>
    </w:p>
    <w:p>
      <w:pPr>
        <w:spacing w:after="120"/>
        <w:jc w:val="center"/>
      </w:pPr>
      <w:r>
        <w:rPr>
          <w:rFonts w:ascii="Calibri" w:hAnsi="Calibri"/>
          <w:i/>
          <w:color w:val="555555"/>
          <w:sz w:val="16"/>
        </w:rPr>
        <w:t>Slide 22 — Assessing weight: body girth measurement positions</w:t>
      </w:r>
    </w:p>
    <w:p>
      <w:pPr>
        <w:pStyle w:val="Heading2"/>
        <w:spacing w:before="80" w:after="40"/>
      </w:pPr>
      <w:r>
        <w:t>11.1  Height Estimation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11.1  Height Estimation</w:t>
            </w:r>
          </w:p>
        </w:tc>
      </w:tr>
    </w:tbl>
    <w:p>
      <w:pPr>
        <w:spacing w:after="40"/>
      </w:pPr>
    </w:p>
    <w:p>
      <w:pPr>
        <w:spacing w:after="80"/>
        <w:jc w:val="left"/>
      </w:pPr>
      <w:r>
        <w:rPr>
          <w:rFonts w:ascii="Calibri" w:hAnsi="Calibri"/>
          <w:b w:val="0"/>
          <w:i w:val="0"/>
          <w:color w:val="1A1A1A"/>
          <w:sz w:val="19"/>
        </w:rPr>
        <w:t>The shoulder height of an elephant can be accurately estimated from the circumference of its front footprint — a field method validated across multiple elephant populations:</w:t>
      </w:r>
    </w:p>
    <w:p>
      <w:pPr>
        <w:spacing w:after="40"/>
        <w:ind w:left="283" w:hanging="170"/>
      </w:pPr>
      <w:r>
        <w:rPr>
          <w:rFonts w:ascii="Calibri" w:hAnsi="Calibri"/>
          <w:color w:val="1A1A1A"/>
          <w:sz w:val="19"/>
        </w:rPr>
        <w:t>•  Formula: Shoulder Height = 2 × Circumference of front foot (same units)</w:t>
      </w:r>
    </w:p>
    <w:p>
      <w:pPr>
        <w:spacing w:after="40"/>
        <w:ind w:left="283" w:hanging="170"/>
      </w:pPr>
      <w:r>
        <w:rPr>
          <w:rFonts w:ascii="Calibri" w:hAnsi="Calibri"/>
          <w:color w:val="1A1A1A"/>
          <w:sz w:val="19"/>
        </w:rPr>
        <w:t>•  Forefoot circumference accounts for 86% of variance in body weight (Sumatran elephant study)</w:t>
      </w:r>
    </w:p>
    <w:p>
      <w:pPr>
        <w:spacing w:after="40"/>
        <w:ind w:left="283" w:hanging="170"/>
      </w:pPr>
      <w:r>
        <w:rPr>
          <w:rFonts w:ascii="Calibri" w:hAnsi="Calibri"/>
          <w:color w:val="1A1A1A"/>
          <w:sz w:val="19"/>
        </w:rPr>
        <w:t>•  Correlation of FFC with shoulder height: R = 0.809 (strong correlation, validated)</w:t>
      </w:r>
    </w:p>
    <w:p>
      <w:pPr>
        <w:spacing w:after="40"/>
        <w:ind w:left="283" w:hanging="170"/>
      </w:pPr>
      <w:r>
        <w:rPr>
          <w:rFonts w:ascii="Calibri" w:hAnsi="Calibri"/>
          <w:color w:val="1A1A1A"/>
          <w:sz w:val="19"/>
        </w:rPr>
        <w:t>•  Correlation of FFC with body length: R = 0.769</w:t>
      </w:r>
    </w:p>
    <w:p>
      <w:pPr>
        <w:spacing w:after="40"/>
        <w:ind w:left="283" w:hanging="170"/>
      </w:pPr>
      <w:r>
        <w:rPr>
          <w:rFonts w:ascii="Calibri" w:hAnsi="Calibri"/>
          <w:color w:val="1A1A1A"/>
          <w:sz w:val="19"/>
        </w:rPr>
        <w:t>•  Practical advantage: measurement can be taken from a fresh footprint even without the animal present — valuable at mortality sites, field surveys, and wildlife corridors</w:t>
      </w:r>
    </w:p>
    <w:p>
      <w:pPr>
        <w:spacing w:after="40"/>
        <w:ind w:left="283" w:hanging="170"/>
      </w:pPr>
      <w:r>
        <w:rPr>
          <w:rFonts w:ascii="Calibri" w:hAnsi="Calibri"/>
          <w:color w:val="1A1A1A"/>
          <w:sz w:val="19"/>
        </w:rPr>
        <w:t>•  Additional formula (refined): SH (cm) = 1.17 × FFC (cm) + 75.73</w:t>
      </w:r>
    </w:p>
    <w:p>
      <w:pPr>
        <w:pStyle w:val="Heading2"/>
        <w:spacing w:before="80" w:after="40"/>
      </w:pPr>
      <w:r>
        <w:t>11.2  Weight Estimation Formulae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11.2  Weight Estimation Formulae</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Formula (kg)</w:t>
            </w:r>
          </w:p>
        </w:tc>
        <w:tc>
          <w:tcPr>
            <w:tcW w:type="dxa" w:w="3685"/>
            <w:shd w:val="clear" w:color="auto" w:fill="2D6A4F"/>
          </w:tcPr>
          <w:p>
            <w:pPr>
              <w:jc w:val="center"/>
            </w:pPr>
            <w:r>
              <w:rPr>
                <w:rFonts w:ascii="Calibri" w:hAnsi="Calibri"/>
                <w:b/>
                <w:color w:val="FFFFFF"/>
                <w:sz w:val="17"/>
              </w:rPr>
              <w:t>Parameters</w:t>
            </w:r>
          </w:p>
        </w:tc>
        <w:tc>
          <w:tcPr>
            <w:tcW w:type="dxa" w:w="2835"/>
            <w:shd w:val="clear" w:color="auto" w:fill="2D6A4F"/>
          </w:tcPr>
          <w:p>
            <w:pPr>
              <w:jc w:val="center"/>
            </w:pPr>
            <w:r>
              <w:rPr>
                <w:rFonts w:ascii="Calibri" w:hAnsi="Calibri"/>
                <w:b/>
                <w:color w:val="FFFFFF"/>
                <w:sz w:val="17"/>
              </w:rPr>
              <w:t>Notes</w:t>
            </w:r>
          </w:p>
        </w:tc>
      </w:tr>
      <w:tr>
        <w:tc>
          <w:tcPr>
            <w:tcW w:type="dxa" w:w="2835"/>
            <w:shd w:val="clear" w:color="auto" w:fill="FFFFFF"/>
          </w:tcPr>
          <w:p>
            <w:r>
              <w:rPr>
                <w:rFonts w:ascii="Calibri" w:hAnsi="Calibri"/>
                <w:b w:val="0"/>
                <w:color w:val="1A1A1A"/>
                <w:sz w:val="17"/>
              </w:rPr>
              <w:t>12.8 (G + Ng) − 4281</w:t>
            </w:r>
          </w:p>
        </w:tc>
        <w:tc>
          <w:tcPr>
            <w:tcW w:type="dxa" w:w="3685"/>
            <w:shd w:val="clear" w:color="auto" w:fill="FFFFFF"/>
          </w:tcPr>
          <w:p>
            <w:r>
              <w:rPr>
                <w:rFonts w:ascii="Calibri" w:hAnsi="Calibri"/>
                <w:b w:val="0"/>
                <w:color w:val="1A1A1A"/>
                <w:sz w:val="17"/>
              </w:rPr>
              <w:t>G = Chest girth (cm)</w:t>
              <w:br/>
              <w:t>Ng = Neck girth (cm)</w:t>
            </w:r>
          </w:p>
        </w:tc>
        <w:tc>
          <w:tcPr>
            <w:tcW w:type="dxa" w:w="2835"/>
            <w:shd w:val="clear" w:color="auto" w:fill="FFFFFF"/>
          </w:tcPr>
          <w:p>
            <w:r>
              <w:rPr>
                <w:rFonts w:ascii="Calibri" w:hAnsi="Calibri"/>
                <w:b w:val="0"/>
                <w:color w:val="1A1A1A"/>
                <w:sz w:val="17"/>
              </w:rPr>
              <w:t>General formula; applicable to both sexes</w:t>
            </w:r>
          </w:p>
        </w:tc>
      </w:tr>
      <w:tr>
        <w:tc>
          <w:tcPr>
            <w:tcW w:type="dxa" w:w="2835"/>
            <w:shd w:val="clear" w:color="auto" w:fill="EAF7EE"/>
          </w:tcPr>
          <w:p>
            <w:r>
              <w:rPr>
                <w:rFonts w:ascii="Calibri" w:hAnsi="Calibri"/>
                <w:b w:val="0"/>
                <w:color w:val="1A1A1A"/>
                <w:sz w:val="17"/>
              </w:rPr>
              <w:t>18 × (HG) − 3336</w:t>
            </w:r>
          </w:p>
        </w:tc>
        <w:tc>
          <w:tcPr>
            <w:tcW w:type="dxa" w:w="3685"/>
            <w:shd w:val="clear" w:color="auto" w:fill="EAF7EE"/>
          </w:tcPr>
          <w:p>
            <w:r>
              <w:rPr>
                <w:rFonts w:ascii="Calibri" w:hAnsi="Calibri"/>
                <w:b w:val="0"/>
                <w:color w:val="1A1A1A"/>
                <w:sz w:val="17"/>
              </w:rPr>
              <w:t>HG = Heart girth (cm)</w:t>
            </w:r>
          </w:p>
        </w:tc>
        <w:tc>
          <w:tcPr>
            <w:tcW w:type="dxa" w:w="2835"/>
            <w:shd w:val="clear" w:color="auto" w:fill="EAF7EE"/>
          </w:tcPr>
          <w:p>
            <w:r>
              <w:rPr>
                <w:rFonts w:ascii="Calibri" w:hAnsi="Calibri"/>
                <w:b w:val="0"/>
                <w:color w:val="1A1A1A"/>
                <w:sz w:val="17"/>
              </w:rPr>
              <w:t>Male-specific formula</w:t>
            </w:r>
          </w:p>
        </w:tc>
      </w:tr>
      <w:tr>
        <w:tc>
          <w:tcPr>
            <w:tcW w:type="dxa" w:w="2835"/>
            <w:shd w:val="clear" w:color="auto" w:fill="FFFFFF"/>
          </w:tcPr>
          <w:p>
            <w:r>
              <w:rPr>
                <w:rFonts w:ascii="Calibri" w:hAnsi="Calibri"/>
                <w:b w:val="0"/>
                <w:color w:val="1A1A1A"/>
                <w:sz w:val="17"/>
              </w:rPr>
              <w:t>15 × (HG) − 2562</w:t>
            </w:r>
          </w:p>
        </w:tc>
        <w:tc>
          <w:tcPr>
            <w:tcW w:type="dxa" w:w="3685"/>
            <w:shd w:val="clear" w:color="auto" w:fill="FFFFFF"/>
          </w:tcPr>
          <w:p>
            <w:r>
              <w:rPr>
                <w:rFonts w:ascii="Calibri" w:hAnsi="Calibri"/>
                <w:b w:val="0"/>
                <w:color w:val="1A1A1A"/>
                <w:sz w:val="17"/>
              </w:rPr>
              <w:t>HG = Heart girth (cm)</w:t>
            </w:r>
          </w:p>
        </w:tc>
        <w:tc>
          <w:tcPr>
            <w:tcW w:type="dxa" w:w="2835"/>
            <w:shd w:val="clear" w:color="auto" w:fill="FFFFFF"/>
          </w:tcPr>
          <w:p>
            <w:r>
              <w:rPr>
                <w:rFonts w:ascii="Calibri" w:hAnsi="Calibri"/>
                <w:b w:val="0"/>
                <w:color w:val="1A1A1A"/>
                <w:sz w:val="17"/>
              </w:rPr>
              <w:t>Female-specific formula</w:t>
            </w:r>
          </w:p>
        </w:tc>
      </w:tr>
      <w:tr>
        <w:tc>
          <w:tcPr>
            <w:tcW w:type="dxa" w:w="2835"/>
            <w:shd w:val="clear" w:color="auto" w:fill="EAF7EE"/>
          </w:tcPr>
          <w:p>
            <w:r>
              <w:rPr>
                <w:rFonts w:ascii="Calibri" w:hAnsi="Calibri"/>
                <w:b w:val="0"/>
                <w:color w:val="1A1A1A"/>
                <w:sz w:val="17"/>
              </w:rPr>
              <w:t>1010 + 0.036 (L × G)</w:t>
            </w:r>
          </w:p>
        </w:tc>
        <w:tc>
          <w:tcPr>
            <w:tcW w:type="dxa" w:w="3685"/>
            <w:shd w:val="clear" w:color="auto" w:fill="EAF7EE"/>
          </w:tcPr>
          <w:p>
            <w:r>
              <w:rPr>
                <w:rFonts w:ascii="Calibri" w:hAnsi="Calibri"/>
                <w:b w:val="0"/>
                <w:color w:val="1A1A1A"/>
                <w:sz w:val="17"/>
              </w:rPr>
              <w:t>L = Body length, forehead base to tail base (cm)</w:t>
              <w:br/>
              <w:t>G = Chest girth just caudal to elbow (cm)</w:t>
            </w:r>
          </w:p>
        </w:tc>
        <w:tc>
          <w:tcPr>
            <w:tcW w:type="dxa" w:w="2835"/>
            <w:shd w:val="clear" w:color="auto" w:fill="EAF7EE"/>
          </w:tcPr>
          <w:p>
            <w:r>
              <w:rPr>
                <w:rFonts w:ascii="Calibri" w:hAnsi="Calibri"/>
                <w:b w:val="0"/>
                <w:color w:val="1A1A1A"/>
                <w:sz w:val="17"/>
              </w:rPr>
              <w:t>Two-parameter formula; good general accuracy</w:t>
            </w:r>
          </w:p>
        </w:tc>
      </w:tr>
    </w:tbl>
    <w:p>
      <w:pPr>
        <w:spacing w:after="40"/>
      </w:pPr>
    </w:p>
    <w:p>
      <w:pPr>
        <w:pStyle w:val="Heading2"/>
        <w:spacing w:before="80" w:after="40"/>
      </w:pPr>
      <w:r>
        <w:t>11.3  Measurement Landmarks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11.3  Measurement Landmarks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Measurement</w:t>
            </w:r>
          </w:p>
        </w:tc>
        <w:tc>
          <w:tcPr>
            <w:tcW w:type="dxa" w:w="3118"/>
            <w:shd w:val="clear" w:color="auto" w:fill="2D6A4F"/>
          </w:tcPr>
          <w:p>
            <w:pPr>
              <w:jc w:val="center"/>
            </w:pPr>
            <w:r>
              <w:rPr>
                <w:rFonts w:ascii="Calibri" w:hAnsi="Calibri"/>
                <w:b/>
                <w:color w:val="FFFFFF"/>
                <w:sz w:val="17"/>
              </w:rPr>
              <w:t>Definition</w:t>
            </w:r>
          </w:p>
        </w:tc>
        <w:tc>
          <w:tcPr>
            <w:tcW w:type="dxa" w:w="3969"/>
            <w:shd w:val="clear" w:color="auto" w:fill="2D6A4F"/>
          </w:tcPr>
          <w:p>
            <w:pPr>
              <w:jc w:val="center"/>
            </w:pPr>
            <w:r>
              <w:rPr>
                <w:rFonts w:ascii="Calibri" w:hAnsi="Calibri"/>
                <w:b/>
                <w:color w:val="FFFFFF"/>
                <w:sz w:val="17"/>
              </w:rPr>
              <w:t>Practical Note</w:t>
            </w:r>
          </w:p>
        </w:tc>
      </w:tr>
      <w:tr>
        <w:tc>
          <w:tcPr>
            <w:tcW w:type="dxa" w:w="2268"/>
            <w:shd w:val="clear" w:color="auto" w:fill="FFFFFF"/>
          </w:tcPr>
          <w:p>
            <w:r>
              <w:rPr>
                <w:rFonts w:ascii="Calibri" w:hAnsi="Calibri"/>
                <w:b w:val="0"/>
                <w:color w:val="1A1A1A"/>
                <w:sz w:val="17"/>
              </w:rPr>
              <w:t>Front Foot Circumference (FFC)</w:t>
            </w:r>
          </w:p>
        </w:tc>
        <w:tc>
          <w:tcPr>
            <w:tcW w:type="dxa" w:w="3118"/>
            <w:shd w:val="clear" w:color="auto" w:fill="FFFFFF"/>
          </w:tcPr>
          <w:p>
            <w:r>
              <w:rPr>
                <w:rFonts w:ascii="Calibri" w:hAnsi="Calibri"/>
                <w:b w:val="0"/>
                <w:color w:val="1A1A1A"/>
                <w:sz w:val="17"/>
              </w:rPr>
              <w:t>Circumference around the front foot at ground level</w:t>
            </w:r>
          </w:p>
        </w:tc>
        <w:tc>
          <w:tcPr>
            <w:tcW w:type="dxa" w:w="3969"/>
            <w:shd w:val="clear" w:color="auto" w:fill="FFFFFF"/>
          </w:tcPr>
          <w:p>
            <w:r>
              <w:rPr>
                <w:rFonts w:ascii="Calibri" w:hAnsi="Calibri"/>
                <w:b w:val="0"/>
                <w:color w:val="1A1A1A"/>
                <w:sz w:val="17"/>
              </w:rPr>
              <w:t>Can be measured from footprint in soft soil</w:t>
            </w:r>
          </w:p>
        </w:tc>
      </w:tr>
      <w:tr>
        <w:tc>
          <w:tcPr>
            <w:tcW w:type="dxa" w:w="2268"/>
            <w:shd w:val="clear" w:color="auto" w:fill="EAF7EE"/>
          </w:tcPr>
          <w:p>
            <w:r>
              <w:rPr>
                <w:rFonts w:ascii="Calibri" w:hAnsi="Calibri"/>
                <w:b w:val="0"/>
                <w:color w:val="1A1A1A"/>
                <w:sz w:val="17"/>
              </w:rPr>
              <w:t>Chest / Heart Girth (HG)</w:t>
            </w:r>
          </w:p>
        </w:tc>
        <w:tc>
          <w:tcPr>
            <w:tcW w:type="dxa" w:w="3118"/>
            <w:shd w:val="clear" w:color="auto" w:fill="EAF7EE"/>
          </w:tcPr>
          <w:p>
            <w:r>
              <w:rPr>
                <w:rFonts w:ascii="Calibri" w:hAnsi="Calibri"/>
                <w:b w:val="0"/>
                <w:color w:val="1A1A1A"/>
                <w:sz w:val="17"/>
              </w:rPr>
              <w:t>Circumference just caudal (behind) the elbow</w:t>
            </w:r>
          </w:p>
        </w:tc>
        <w:tc>
          <w:tcPr>
            <w:tcW w:type="dxa" w:w="3969"/>
            <w:shd w:val="clear" w:color="auto" w:fill="EAF7EE"/>
          </w:tcPr>
          <w:p>
            <w:r>
              <w:rPr>
                <w:rFonts w:ascii="Calibri" w:hAnsi="Calibri"/>
                <w:b w:val="0"/>
                <w:color w:val="1A1A1A"/>
                <w:sz w:val="17"/>
              </w:rPr>
              <w:t>Most reliable single weight predictor</w:t>
            </w:r>
          </w:p>
        </w:tc>
      </w:tr>
      <w:tr>
        <w:tc>
          <w:tcPr>
            <w:tcW w:type="dxa" w:w="2268"/>
            <w:shd w:val="clear" w:color="auto" w:fill="FFFFFF"/>
          </w:tcPr>
          <w:p>
            <w:r>
              <w:rPr>
                <w:rFonts w:ascii="Calibri" w:hAnsi="Calibri"/>
                <w:b w:val="0"/>
                <w:color w:val="1A1A1A"/>
                <w:sz w:val="17"/>
              </w:rPr>
              <w:t>Neck Girth (Ng)</w:t>
            </w:r>
          </w:p>
        </w:tc>
        <w:tc>
          <w:tcPr>
            <w:tcW w:type="dxa" w:w="3118"/>
            <w:shd w:val="clear" w:color="auto" w:fill="FFFFFF"/>
          </w:tcPr>
          <w:p>
            <w:r>
              <w:rPr>
                <w:rFonts w:ascii="Calibri" w:hAnsi="Calibri"/>
                <w:b w:val="0"/>
                <w:color w:val="1A1A1A"/>
                <w:sz w:val="17"/>
              </w:rPr>
              <w:t>Circumference at mid-neck</w:t>
            </w:r>
          </w:p>
        </w:tc>
        <w:tc>
          <w:tcPr>
            <w:tcW w:type="dxa" w:w="3969"/>
            <w:shd w:val="clear" w:color="auto" w:fill="FFFFFF"/>
          </w:tcPr>
          <w:p>
            <w:r>
              <w:rPr>
                <w:rFonts w:ascii="Calibri" w:hAnsi="Calibri"/>
                <w:b w:val="0"/>
                <w:color w:val="1A1A1A"/>
                <w:sz w:val="17"/>
              </w:rPr>
              <w:t>Easier to measure in captive elephants</w:t>
            </w:r>
          </w:p>
        </w:tc>
      </w:tr>
      <w:tr>
        <w:tc>
          <w:tcPr>
            <w:tcW w:type="dxa" w:w="2268"/>
            <w:shd w:val="clear" w:color="auto" w:fill="EAF7EE"/>
          </w:tcPr>
          <w:p>
            <w:r>
              <w:rPr>
                <w:rFonts w:ascii="Calibri" w:hAnsi="Calibri"/>
                <w:b w:val="0"/>
                <w:color w:val="1A1A1A"/>
                <w:sz w:val="17"/>
              </w:rPr>
              <w:t>Body Length (L)</w:t>
            </w:r>
          </w:p>
        </w:tc>
        <w:tc>
          <w:tcPr>
            <w:tcW w:type="dxa" w:w="3118"/>
            <w:shd w:val="clear" w:color="auto" w:fill="EAF7EE"/>
          </w:tcPr>
          <w:p>
            <w:r>
              <w:rPr>
                <w:rFonts w:ascii="Calibri" w:hAnsi="Calibri"/>
                <w:b w:val="0"/>
                <w:color w:val="1A1A1A"/>
                <w:sz w:val="17"/>
              </w:rPr>
              <w:t>From base of forehead (top of trunk root) to base of tail</w:t>
            </w:r>
          </w:p>
        </w:tc>
        <w:tc>
          <w:tcPr>
            <w:tcW w:type="dxa" w:w="3969"/>
            <w:shd w:val="clear" w:color="auto" w:fill="EAF7EE"/>
          </w:tcPr>
          <w:p>
            <w:r>
              <w:rPr>
                <w:rFonts w:ascii="Calibri" w:hAnsi="Calibri"/>
                <w:b w:val="0"/>
                <w:color w:val="1A1A1A"/>
                <w:sz w:val="17"/>
              </w:rPr>
              <w:t>Measured along dorsal midline</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MANDATORY FIELD DATA: Height and weight MUST be recorded in all elephant mortality investigation forms.</w:t>
              <w:br/>
              <w:t>• Use front foot circumference (from footprint) for height if carcass is inaccessible</w:t>
              <w:br/>
              <w:t>• Use heart girth measurement for weight estimation</w:t>
              <w:br/>
              <w:t>• Document all measurement landmarks and formula used</w:t>
            </w:r>
          </w:p>
        </w:tc>
      </w:tr>
    </w:tbl>
    <w:p>
      <w:pPr>
        <w:spacing w:after="40"/>
      </w:pPr>
    </w:p>
    <w:p/>
    <w:p>
      <w:pPr>
        <w:spacing w:before="0" w:after="0"/>
      </w:pPr>
      <w:r>
        <w:br w:type="page"/>
      </w:r>
    </w:p>
    <w:p>
      <w:pPr>
        <w:pStyle w:val="Heading1"/>
        <w:spacing w:before="160" w:after="40"/>
      </w:pPr>
      <w:r>
        <w:t>12.  Behaviour, Communication &amp; Social Intelligence</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12.  Behaviour, Communication &amp; Social Intelligence</w:t>
            </w:r>
          </w:p>
        </w:tc>
      </w:tr>
    </w:tbl>
    <w:p>
      <w:pPr>
        <w:spacing w:after="40"/>
      </w:pPr>
    </w:p>
    <w:p>
      <w:pPr>
        <w:pStyle w:val="Heading2"/>
        <w:spacing w:before="80" w:after="40"/>
      </w:pPr>
      <w:r>
        <w:t>12.1  Social Structure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12.1  Social Structure</w:t>
            </w:r>
          </w:p>
        </w:tc>
      </w:tr>
    </w:tbl>
    <w:p>
      <w:pPr>
        <w:spacing w:after="40"/>
      </w:pPr>
    </w:p>
    <w:p>
      <w:pPr>
        <w:spacing w:after="80"/>
        <w:jc w:val="left"/>
      </w:pPr>
      <w:r>
        <w:rPr>
          <w:rFonts w:ascii="Calibri" w:hAnsi="Calibri"/>
          <w:b w:val="0"/>
          <w:i w:val="0"/>
          <w:color w:val="1A1A1A"/>
          <w:sz w:val="19"/>
        </w:rPr>
        <w:t>Asian elephants live in complex matriarchal societies. The basic unit is the family group — a core matriarch (oldest female), her adult daughters, and their offspring, typically 6–20 individuals. Multiple families may aggregate into bond groups or clans sharing overlapping home ranges. Adult bulls are semi-solitary, forming loose bachelor groups and joining female groups only for mating.</w:t>
      </w:r>
    </w:p>
    <w:p>
      <w:pPr>
        <w:spacing w:after="40"/>
        <w:ind w:left="283" w:hanging="170"/>
      </w:pPr>
      <w:r>
        <w:rPr>
          <w:rFonts w:ascii="Calibri" w:hAnsi="Calibri"/>
          <w:color w:val="1A1A1A"/>
          <w:sz w:val="19"/>
        </w:rPr>
        <w:t>•  Matriarch knowledge is critical: older matriarchs recognise 100+ individual elephants and remember historical threats, water sources, and migration routes across decades</w:t>
      </w:r>
    </w:p>
    <w:p>
      <w:pPr>
        <w:spacing w:after="40"/>
        <w:ind w:left="283" w:hanging="170"/>
      </w:pPr>
      <w:r>
        <w:rPr>
          <w:rFonts w:ascii="Calibri" w:hAnsi="Calibri"/>
          <w:color w:val="1A1A1A"/>
          <w:sz w:val="19"/>
        </w:rPr>
        <w:t>•  Allomothering: juvenile females (2–5 years) actively practise infant care — babysitting calves, nursing, and guarding. Improves calf survival rates significantly (Buss et al. 1976)</w:t>
      </w:r>
    </w:p>
    <w:p>
      <w:pPr>
        <w:spacing w:after="40"/>
        <w:ind w:left="283" w:hanging="170"/>
      </w:pPr>
      <w:r>
        <w:rPr>
          <w:rFonts w:ascii="Calibri" w:hAnsi="Calibri"/>
          <w:color w:val="1A1A1A"/>
          <w:sz w:val="19"/>
        </w:rPr>
        <w:t>•  Calf survival linked to matriarch experience: herds with older matriarchs show higher survival during droughts and HEC events</w:t>
      </w:r>
    </w:p>
    <w:p>
      <w:pPr>
        <w:spacing w:after="40"/>
        <w:ind w:left="283" w:hanging="170"/>
      </w:pPr>
      <w:r>
        <w:rPr>
          <w:rFonts w:ascii="Calibri" w:hAnsi="Calibri"/>
          <w:color w:val="1A1A1A"/>
          <w:sz w:val="19"/>
        </w:rPr>
        <w:t>•  Bull musth hierarchy: older bulls (&gt;30 years) in musth dominate younger bulls in musth; a young bull encountering an older musth bull will abort his own musth and become subordinate</w:t>
      </w:r>
    </w:p>
    <w:tbl>
      <w:tblPr>
        <w:tblStyle w:val="TableGrid"/>
        <w:tblW w:type="auto" w:w="0"/>
        <w:tblLook w:firstColumn="1" w:firstRow="1" w:lastColumn="0" w:lastRow="0" w:noHBand="0" w:noVBand="1" w:val="04A0"/>
      </w:tblPr>
      <w:tblGrid>
        <w:gridCol w:w="3213"/>
        <w:gridCol w:w="3213"/>
        <w:gridCol w:w="3213"/>
      </w:tblGrid>
      <w:tr>
        <w:tc>
          <w:tcPr>
            <w:tcW w:type="dxa" w:w="2268"/>
            <w:shd w:val="clear" w:color="auto" w:fill="2D6A4F"/>
          </w:tcPr>
          <w:p>
            <w:pPr>
              <w:jc w:val="center"/>
            </w:pPr>
            <w:r>
              <w:rPr>
                <w:rFonts w:ascii="Calibri" w:hAnsi="Calibri"/>
                <w:b/>
                <w:color w:val="FFFFFF"/>
                <w:sz w:val="17"/>
              </w:rPr>
              <w:t>Social Unit</w:t>
            </w:r>
          </w:p>
        </w:tc>
        <w:tc>
          <w:tcPr>
            <w:tcW w:type="dxa" w:w="3969"/>
            <w:shd w:val="clear" w:color="auto" w:fill="2D6A4F"/>
          </w:tcPr>
          <w:p>
            <w:pPr>
              <w:jc w:val="center"/>
            </w:pPr>
            <w:r>
              <w:rPr>
                <w:rFonts w:ascii="Calibri" w:hAnsi="Calibri"/>
                <w:b/>
                <w:color w:val="FFFFFF"/>
                <w:sz w:val="17"/>
              </w:rPr>
              <w:t>Composition</w:t>
            </w:r>
          </w:p>
        </w:tc>
        <w:tc>
          <w:tcPr>
            <w:tcW w:type="dxa" w:w="3118"/>
            <w:shd w:val="clear" w:color="auto" w:fill="2D6A4F"/>
          </w:tcPr>
          <w:p>
            <w:pPr>
              <w:jc w:val="center"/>
            </w:pPr>
            <w:r>
              <w:rPr>
                <w:rFonts w:ascii="Calibri" w:hAnsi="Calibri"/>
                <w:b/>
                <w:color w:val="FFFFFF"/>
                <w:sz w:val="17"/>
              </w:rPr>
              <w:t>Stability</w:t>
            </w:r>
          </w:p>
        </w:tc>
      </w:tr>
      <w:tr>
        <w:tc>
          <w:tcPr>
            <w:tcW w:type="dxa" w:w="2268"/>
            <w:shd w:val="clear" w:color="auto" w:fill="FFFFFF"/>
          </w:tcPr>
          <w:p>
            <w:r>
              <w:rPr>
                <w:rFonts w:ascii="Calibri" w:hAnsi="Calibri"/>
                <w:b w:val="0"/>
                <w:color w:val="1A1A1A"/>
                <w:sz w:val="17"/>
              </w:rPr>
              <w:t>Family group</w:t>
            </w:r>
          </w:p>
        </w:tc>
        <w:tc>
          <w:tcPr>
            <w:tcW w:type="dxa" w:w="3969"/>
            <w:shd w:val="clear" w:color="auto" w:fill="FFFFFF"/>
          </w:tcPr>
          <w:p>
            <w:r>
              <w:rPr>
                <w:rFonts w:ascii="Calibri" w:hAnsi="Calibri"/>
                <w:b w:val="0"/>
                <w:color w:val="1A1A1A"/>
                <w:sz w:val="17"/>
              </w:rPr>
              <w:t>Matriarch + female kin + calves (6–20)</w:t>
            </w:r>
          </w:p>
        </w:tc>
        <w:tc>
          <w:tcPr>
            <w:tcW w:type="dxa" w:w="3118"/>
            <w:shd w:val="clear" w:color="auto" w:fill="FFFFFF"/>
          </w:tcPr>
          <w:p>
            <w:r>
              <w:rPr>
                <w:rFonts w:ascii="Calibri" w:hAnsi="Calibri"/>
                <w:b w:val="0"/>
                <w:color w:val="1A1A1A"/>
                <w:sz w:val="17"/>
              </w:rPr>
              <w:t>Highly stable; may persist &gt;50 years</w:t>
            </w:r>
          </w:p>
        </w:tc>
      </w:tr>
      <w:tr>
        <w:tc>
          <w:tcPr>
            <w:tcW w:type="dxa" w:w="2268"/>
            <w:shd w:val="clear" w:color="auto" w:fill="EAF7EE"/>
          </w:tcPr>
          <w:p>
            <w:r>
              <w:rPr>
                <w:rFonts w:ascii="Calibri" w:hAnsi="Calibri"/>
                <w:b w:val="0"/>
                <w:color w:val="1A1A1A"/>
                <w:sz w:val="17"/>
              </w:rPr>
              <w:t>Bond group</w:t>
            </w:r>
          </w:p>
        </w:tc>
        <w:tc>
          <w:tcPr>
            <w:tcW w:type="dxa" w:w="3969"/>
            <w:shd w:val="clear" w:color="auto" w:fill="EAF7EE"/>
          </w:tcPr>
          <w:p>
            <w:r>
              <w:rPr>
                <w:rFonts w:ascii="Calibri" w:hAnsi="Calibri"/>
                <w:b w:val="0"/>
                <w:color w:val="1A1A1A"/>
                <w:sz w:val="17"/>
              </w:rPr>
              <w:t>2–5 related family groups</w:t>
            </w:r>
          </w:p>
        </w:tc>
        <w:tc>
          <w:tcPr>
            <w:tcW w:type="dxa" w:w="3118"/>
            <w:shd w:val="clear" w:color="auto" w:fill="EAF7EE"/>
          </w:tcPr>
          <w:p>
            <w:r>
              <w:rPr>
                <w:rFonts w:ascii="Calibri" w:hAnsi="Calibri"/>
                <w:b w:val="0"/>
                <w:color w:val="1A1A1A"/>
                <w:sz w:val="17"/>
              </w:rPr>
              <w:t>Semi-stable; seasonal aggregation</w:t>
            </w:r>
          </w:p>
        </w:tc>
      </w:tr>
      <w:tr>
        <w:tc>
          <w:tcPr>
            <w:tcW w:type="dxa" w:w="2268"/>
            <w:shd w:val="clear" w:color="auto" w:fill="FFFFFF"/>
          </w:tcPr>
          <w:p>
            <w:r>
              <w:rPr>
                <w:rFonts w:ascii="Calibri" w:hAnsi="Calibri"/>
                <w:b w:val="0"/>
                <w:color w:val="1A1A1A"/>
                <w:sz w:val="17"/>
              </w:rPr>
              <w:t>Bull groups</w:t>
            </w:r>
          </w:p>
        </w:tc>
        <w:tc>
          <w:tcPr>
            <w:tcW w:type="dxa" w:w="3969"/>
            <w:shd w:val="clear" w:color="auto" w:fill="FFFFFF"/>
          </w:tcPr>
          <w:p>
            <w:r>
              <w:rPr>
                <w:rFonts w:ascii="Calibri" w:hAnsi="Calibri"/>
                <w:b w:val="0"/>
                <w:color w:val="1A1A1A"/>
                <w:sz w:val="17"/>
              </w:rPr>
              <w:t>3–5 bachelor males</w:t>
            </w:r>
          </w:p>
        </w:tc>
        <w:tc>
          <w:tcPr>
            <w:tcW w:type="dxa" w:w="3118"/>
            <w:shd w:val="clear" w:color="auto" w:fill="FFFFFF"/>
          </w:tcPr>
          <w:p>
            <w:r>
              <w:rPr>
                <w:rFonts w:ascii="Calibri" w:hAnsi="Calibri"/>
                <w:b w:val="0"/>
                <w:color w:val="1A1A1A"/>
                <w:sz w:val="17"/>
              </w:rPr>
              <w:t>Loose, transient</w:t>
            </w:r>
          </w:p>
        </w:tc>
      </w:tr>
      <w:tr>
        <w:tc>
          <w:tcPr>
            <w:tcW w:type="dxa" w:w="2268"/>
            <w:shd w:val="clear" w:color="auto" w:fill="EAF7EE"/>
          </w:tcPr>
          <w:p>
            <w:r>
              <w:rPr>
                <w:rFonts w:ascii="Calibri" w:hAnsi="Calibri"/>
                <w:b w:val="0"/>
                <w:color w:val="1A1A1A"/>
                <w:sz w:val="17"/>
              </w:rPr>
              <w:t>Solitary bull</w:t>
            </w:r>
          </w:p>
        </w:tc>
        <w:tc>
          <w:tcPr>
            <w:tcW w:type="dxa" w:w="3969"/>
            <w:shd w:val="clear" w:color="auto" w:fill="EAF7EE"/>
          </w:tcPr>
          <w:p>
            <w:r>
              <w:rPr>
                <w:rFonts w:ascii="Calibri" w:hAnsi="Calibri"/>
                <w:b w:val="0"/>
                <w:color w:val="1A1A1A"/>
                <w:sz w:val="17"/>
              </w:rPr>
              <w:t>Adult male in/out of musth</w:t>
            </w:r>
          </w:p>
        </w:tc>
        <w:tc>
          <w:tcPr>
            <w:tcW w:type="dxa" w:w="3118"/>
            <w:shd w:val="clear" w:color="auto" w:fill="EAF7EE"/>
          </w:tcPr>
          <w:p>
            <w:r>
              <w:rPr>
                <w:rFonts w:ascii="Calibri" w:hAnsi="Calibri"/>
                <w:b w:val="0"/>
                <w:color w:val="1A1A1A"/>
                <w:sz w:val="17"/>
              </w:rPr>
              <w:t>Variable; joins females to mate</w:t>
            </w:r>
          </w:p>
        </w:tc>
      </w:tr>
    </w:tbl>
    <w:p>
      <w:pPr>
        <w:spacing w:after="40"/>
      </w:pPr>
    </w:p>
    <w:p>
      <w:pPr>
        <w:pStyle w:val="Heading2"/>
        <w:spacing w:before="80" w:after="40"/>
      </w:pPr>
      <w:r>
        <w:t>12.2  Communication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12.2  Communication</w:t>
            </w:r>
          </w:p>
        </w:tc>
      </w:tr>
    </w:tbl>
    <w:p>
      <w:pPr>
        <w:spacing w:after="40"/>
      </w:pPr>
    </w:p>
    <w:p>
      <w:pPr>
        <w:spacing w:after="80"/>
        <w:jc w:val="left"/>
      </w:pPr>
      <w:r>
        <w:rPr>
          <w:rFonts w:ascii="Calibri" w:hAnsi="Calibri"/>
          <w:b w:val="0"/>
          <w:i w:val="0"/>
          <w:color w:val="1A1A1A"/>
          <w:sz w:val="19"/>
        </w:rPr>
        <w:t>Elephants use one of the most sophisticated multi-channel communication systems in the animal kingdom — integrating acoustic, chemical, tactile, and seismic channels over distances ranging from trunk-touch contact to 10 km infrasound propagation.</w:t>
      </w:r>
    </w:p>
    <w:tbl>
      <w:tblPr>
        <w:tblStyle w:val="TableGrid"/>
        <w:tblW w:type="auto" w:w="0"/>
        <w:tblLook w:firstColumn="1" w:firstRow="1" w:lastColumn="0" w:lastRow="0" w:noHBand="0" w:noVBand="1" w:val="04A0"/>
      </w:tblPr>
      <w:tblGrid>
        <w:gridCol w:w="3213"/>
        <w:gridCol w:w="3213"/>
        <w:gridCol w:w="3213"/>
      </w:tblGrid>
      <w:tr>
        <w:tc>
          <w:tcPr>
            <w:tcW w:type="dxa" w:w="1984"/>
            <w:shd w:val="clear" w:color="auto" w:fill="2D6A4F"/>
          </w:tcPr>
          <w:p>
            <w:pPr>
              <w:jc w:val="center"/>
            </w:pPr>
            <w:r>
              <w:rPr>
                <w:rFonts w:ascii="Calibri" w:hAnsi="Calibri"/>
                <w:b/>
                <w:color w:val="FFFFFF"/>
                <w:sz w:val="17"/>
              </w:rPr>
              <w:t>Channel</w:t>
            </w:r>
          </w:p>
        </w:tc>
        <w:tc>
          <w:tcPr>
            <w:tcW w:type="dxa" w:w="3118"/>
            <w:shd w:val="clear" w:color="auto" w:fill="2D6A4F"/>
          </w:tcPr>
          <w:p>
            <w:pPr>
              <w:jc w:val="center"/>
            </w:pPr>
            <w:r>
              <w:rPr>
                <w:rFonts w:ascii="Calibri" w:hAnsi="Calibri"/>
                <w:b/>
                <w:color w:val="FFFFFF"/>
                <w:sz w:val="17"/>
              </w:rPr>
              <w:t>Frequency / Method</w:t>
            </w:r>
          </w:p>
        </w:tc>
        <w:tc>
          <w:tcPr>
            <w:tcW w:type="dxa" w:w="4252"/>
            <w:shd w:val="clear" w:color="auto" w:fill="2D6A4F"/>
          </w:tcPr>
          <w:p>
            <w:pPr>
              <w:jc w:val="center"/>
            </w:pPr>
            <w:r>
              <w:rPr>
                <w:rFonts w:ascii="Calibri" w:hAnsi="Calibri"/>
                <w:b/>
                <w:color w:val="FFFFFF"/>
                <w:sz w:val="17"/>
              </w:rPr>
              <w:t>Range / Notes</w:t>
            </w:r>
          </w:p>
        </w:tc>
      </w:tr>
      <w:tr>
        <w:tc>
          <w:tcPr>
            <w:tcW w:type="dxa" w:w="1984"/>
            <w:shd w:val="clear" w:color="auto" w:fill="FFFFFF"/>
          </w:tcPr>
          <w:p>
            <w:r>
              <w:rPr>
                <w:rFonts w:ascii="Calibri" w:hAnsi="Calibri"/>
                <w:b w:val="0"/>
                <w:color w:val="1A1A1A"/>
                <w:sz w:val="17"/>
              </w:rPr>
              <w:t>Infrasound rumbles</w:t>
            </w:r>
          </w:p>
        </w:tc>
        <w:tc>
          <w:tcPr>
            <w:tcW w:type="dxa" w:w="3118"/>
            <w:shd w:val="clear" w:color="auto" w:fill="FFFFFF"/>
          </w:tcPr>
          <w:p>
            <w:r>
              <w:rPr>
                <w:rFonts w:ascii="Calibri" w:hAnsi="Calibri"/>
                <w:b w:val="0"/>
                <w:color w:val="1A1A1A"/>
                <w:sz w:val="17"/>
              </w:rPr>
              <w:t>14–35 Hz — below human hearing</w:t>
            </w:r>
          </w:p>
        </w:tc>
        <w:tc>
          <w:tcPr>
            <w:tcW w:type="dxa" w:w="4252"/>
            <w:shd w:val="clear" w:color="auto" w:fill="FFFFFF"/>
          </w:tcPr>
          <w:p>
            <w:r>
              <w:rPr>
                <w:rFonts w:ascii="Calibri" w:hAnsi="Calibri"/>
                <w:b w:val="0"/>
                <w:color w:val="1A1A1A"/>
                <w:sz w:val="17"/>
              </w:rPr>
              <w:t>Airborne: up to 4 km; ground conduction (seismic): up to 32 km (Garstang 2004)</w:t>
            </w:r>
          </w:p>
        </w:tc>
      </w:tr>
      <w:tr>
        <w:tc>
          <w:tcPr>
            <w:tcW w:type="dxa" w:w="1984"/>
            <w:shd w:val="clear" w:color="auto" w:fill="EAF7EE"/>
          </w:tcPr>
          <w:p>
            <w:r>
              <w:rPr>
                <w:rFonts w:ascii="Calibri" w:hAnsi="Calibri"/>
                <w:b w:val="0"/>
                <w:color w:val="1A1A1A"/>
                <w:sz w:val="17"/>
              </w:rPr>
              <w:t>Contact calls</w:t>
            </w:r>
          </w:p>
        </w:tc>
        <w:tc>
          <w:tcPr>
            <w:tcW w:type="dxa" w:w="3118"/>
            <w:shd w:val="clear" w:color="auto" w:fill="EAF7EE"/>
          </w:tcPr>
          <w:p>
            <w:r>
              <w:rPr>
                <w:rFonts w:ascii="Calibri" w:hAnsi="Calibri"/>
                <w:b w:val="0"/>
                <w:color w:val="1A1A1A"/>
                <w:sz w:val="17"/>
              </w:rPr>
              <w:t>Higher frequency rumbles, squeaks, chirps</w:t>
            </w:r>
          </w:p>
        </w:tc>
        <w:tc>
          <w:tcPr>
            <w:tcW w:type="dxa" w:w="4252"/>
            <w:shd w:val="clear" w:color="auto" w:fill="EAF7EE"/>
          </w:tcPr>
          <w:p>
            <w:r>
              <w:rPr>
                <w:rFonts w:ascii="Calibri" w:hAnsi="Calibri"/>
                <w:b w:val="0"/>
                <w:color w:val="1A1A1A"/>
                <w:sz w:val="17"/>
              </w:rPr>
              <w:t>Short range — group coordination, mother–calf</w:t>
            </w:r>
          </w:p>
        </w:tc>
      </w:tr>
      <w:tr>
        <w:tc>
          <w:tcPr>
            <w:tcW w:type="dxa" w:w="1984"/>
            <w:shd w:val="clear" w:color="auto" w:fill="FFFFFF"/>
          </w:tcPr>
          <w:p>
            <w:r>
              <w:rPr>
                <w:rFonts w:ascii="Calibri" w:hAnsi="Calibri"/>
                <w:b w:val="0"/>
                <w:color w:val="1A1A1A"/>
                <w:sz w:val="17"/>
              </w:rPr>
              <w:t>Alarm calls / trumpets</w:t>
            </w:r>
          </w:p>
        </w:tc>
        <w:tc>
          <w:tcPr>
            <w:tcW w:type="dxa" w:w="3118"/>
            <w:shd w:val="clear" w:color="auto" w:fill="FFFFFF"/>
          </w:tcPr>
          <w:p>
            <w:r>
              <w:rPr>
                <w:rFonts w:ascii="Calibri" w:hAnsi="Calibri"/>
                <w:b w:val="0"/>
                <w:color w:val="1A1A1A"/>
                <w:sz w:val="17"/>
              </w:rPr>
              <w:t>High frequency &gt;500 Hz</w:t>
            </w:r>
          </w:p>
        </w:tc>
        <w:tc>
          <w:tcPr>
            <w:tcW w:type="dxa" w:w="4252"/>
            <w:shd w:val="clear" w:color="auto" w:fill="FFFFFF"/>
          </w:tcPr>
          <w:p>
            <w:r>
              <w:rPr>
                <w:rFonts w:ascii="Calibri" w:hAnsi="Calibri"/>
                <w:b w:val="0"/>
                <w:color w:val="1A1A1A"/>
                <w:sz w:val="17"/>
              </w:rPr>
              <w:t>Group alert, aggression display</w:t>
            </w:r>
          </w:p>
        </w:tc>
      </w:tr>
      <w:tr>
        <w:tc>
          <w:tcPr>
            <w:tcW w:type="dxa" w:w="1984"/>
            <w:shd w:val="clear" w:color="auto" w:fill="EAF7EE"/>
          </w:tcPr>
          <w:p>
            <w:r>
              <w:rPr>
                <w:rFonts w:ascii="Calibri" w:hAnsi="Calibri"/>
                <w:b w:val="0"/>
                <w:color w:val="1A1A1A"/>
                <w:sz w:val="17"/>
              </w:rPr>
              <w:t>Chemical / olfactory</w:t>
            </w:r>
          </w:p>
        </w:tc>
        <w:tc>
          <w:tcPr>
            <w:tcW w:type="dxa" w:w="3118"/>
            <w:shd w:val="clear" w:color="auto" w:fill="EAF7EE"/>
          </w:tcPr>
          <w:p>
            <w:r>
              <w:rPr>
                <w:rFonts w:ascii="Calibri" w:hAnsi="Calibri"/>
                <w:b w:val="0"/>
                <w:color w:val="1A1A1A"/>
                <w:sz w:val="17"/>
              </w:rPr>
              <w:t>Pheromones via urine, temporal gland, genital secretions</w:t>
            </w:r>
          </w:p>
        </w:tc>
        <w:tc>
          <w:tcPr>
            <w:tcW w:type="dxa" w:w="4252"/>
            <w:shd w:val="clear" w:color="auto" w:fill="EAF7EE"/>
          </w:tcPr>
          <w:p>
            <w:r>
              <w:rPr>
                <w:rFonts w:ascii="Calibri" w:hAnsi="Calibri"/>
                <w:b w:val="0"/>
                <w:color w:val="1A1A1A"/>
                <w:sz w:val="17"/>
              </w:rPr>
              <w:t>Long-range — oestrus advertisement, individual ID</w:t>
            </w:r>
          </w:p>
        </w:tc>
      </w:tr>
      <w:tr>
        <w:tc>
          <w:tcPr>
            <w:tcW w:type="dxa" w:w="1984"/>
            <w:shd w:val="clear" w:color="auto" w:fill="FFFFFF"/>
          </w:tcPr>
          <w:p>
            <w:r>
              <w:rPr>
                <w:rFonts w:ascii="Calibri" w:hAnsi="Calibri"/>
                <w:b w:val="0"/>
                <w:color w:val="1A1A1A"/>
                <w:sz w:val="17"/>
              </w:rPr>
              <w:t>Tactile</w:t>
            </w:r>
          </w:p>
        </w:tc>
        <w:tc>
          <w:tcPr>
            <w:tcW w:type="dxa" w:w="3118"/>
            <w:shd w:val="clear" w:color="auto" w:fill="FFFFFF"/>
          </w:tcPr>
          <w:p>
            <w:r>
              <w:rPr>
                <w:rFonts w:ascii="Calibri" w:hAnsi="Calibri"/>
                <w:b w:val="0"/>
                <w:color w:val="1A1A1A"/>
                <w:sz w:val="17"/>
              </w:rPr>
              <w:t>Trunk-to-trunk, trunk-to-mouth, flank-leaning</w:t>
            </w:r>
          </w:p>
        </w:tc>
        <w:tc>
          <w:tcPr>
            <w:tcW w:type="dxa" w:w="4252"/>
            <w:shd w:val="clear" w:color="auto" w:fill="FFFFFF"/>
          </w:tcPr>
          <w:p>
            <w:r>
              <w:rPr>
                <w:rFonts w:ascii="Calibri" w:hAnsi="Calibri"/>
                <w:b w:val="0"/>
                <w:color w:val="1A1A1A"/>
                <w:sz w:val="17"/>
              </w:rPr>
              <w:t>Greeting, reassurance, social bonding</w:t>
            </w:r>
          </w:p>
        </w:tc>
      </w:tr>
      <w:tr>
        <w:tc>
          <w:tcPr>
            <w:tcW w:type="dxa" w:w="1984"/>
            <w:shd w:val="clear" w:color="auto" w:fill="EAF7EE"/>
          </w:tcPr>
          <w:p>
            <w:r>
              <w:rPr>
                <w:rFonts w:ascii="Calibri" w:hAnsi="Calibri"/>
                <w:b w:val="0"/>
                <w:color w:val="1A1A1A"/>
                <w:sz w:val="17"/>
              </w:rPr>
              <w:t>Seismic</w:t>
            </w:r>
          </w:p>
        </w:tc>
        <w:tc>
          <w:tcPr>
            <w:tcW w:type="dxa" w:w="3118"/>
            <w:shd w:val="clear" w:color="auto" w:fill="EAF7EE"/>
          </w:tcPr>
          <w:p>
            <w:r>
              <w:rPr>
                <w:rFonts w:ascii="Calibri" w:hAnsi="Calibri"/>
                <w:b w:val="0"/>
                <w:color w:val="1A1A1A"/>
                <w:sz w:val="17"/>
              </w:rPr>
              <w:t>Foot-strike vibrations detected via bones and Pacinian corpuscles in feet</w:t>
            </w:r>
          </w:p>
        </w:tc>
        <w:tc>
          <w:tcPr>
            <w:tcW w:type="dxa" w:w="4252"/>
            <w:shd w:val="clear" w:color="auto" w:fill="EAF7EE"/>
          </w:tcPr>
          <w:p>
            <w:r>
              <w:rPr>
                <w:rFonts w:ascii="Calibri" w:hAnsi="Calibri"/>
                <w:b w:val="0"/>
                <w:color w:val="1A1A1A"/>
                <w:sz w:val="17"/>
              </w:rPr>
              <w:t>Detected up to 32 km via substrate</w:t>
            </w:r>
          </w:p>
        </w:tc>
      </w:tr>
    </w:tbl>
    <w:p>
      <w:pPr>
        <w:spacing w:after="40"/>
      </w:pPr>
    </w:p>
    <w:p>
      <w:pPr>
        <w:spacing w:after="40"/>
        <w:ind w:left="283" w:hanging="170"/>
      </w:pPr>
      <w:r>
        <w:rPr>
          <w:rFonts w:ascii="Calibri" w:hAnsi="Calibri"/>
          <w:color w:val="1A1A1A"/>
          <w:sz w:val="19"/>
        </w:rPr>
        <w:t>•  Elephants produce infrasound at 14–24 Hz (Payne et al. 2000) — inaudible to humans but travels efficiently through ground. Seismic detection confirmed via foot pad and skeletal conduction</w:t>
      </w:r>
    </w:p>
    <w:p>
      <w:pPr>
        <w:spacing w:after="40"/>
        <w:ind w:left="283" w:hanging="170"/>
      </w:pPr>
      <w:r>
        <w:rPr>
          <w:rFonts w:ascii="Calibri" w:hAnsi="Calibri"/>
          <w:color w:val="1A1A1A"/>
          <w:sz w:val="19"/>
        </w:rPr>
        <w:t>•  Call repertoire: at least 25 distinct call types identified in Asian elephants, each context-specific</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NECROPSY RELEVANCE: Isolation of a calf from its social group is a welfare emergency — infrasound calls from the calf attract the mother and entire family group; handle calf mortality scenes carefully to prevent dangerous aggregation of family members.</w:t>
            </w:r>
          </w:p>
        </w:tc>
      </w:tr>
    </w:tbl>
    <w:p>
      <w:pPr>
        <w:spacing w:after="40"/>
      </w:pPr>
    </w:p>
    <w:p>
      <w:pPr>
        <w:pStyle w:val="Heading2"/>
        <w:spacing w:before="80" w:after="40"/>
      </w:pPr>
      <w:r>
        <w:t>12.3  Intelligence, Memory &amp; Cognition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12.3  Intelligence, Memory &amp; Cognition</w:t>
            </w:r>
          </w:p>
        </w:tc>
      </w:tr>
    </w:tbl>
    <w:p>
      <w:pPr>
        <w:spacing w:after="40"/>
      </w:pPr>
    </w:p>
    <w:p>
      <w:pPr>
        <w:spacing w:after="80"/>
        <w:jc w:val="left"/>
      </w:pPr>
      <w:r>
        <w:rPr>
          <w:rFonts w:ascii="Calibri" w:hAnsi="Calibri"/>
          <w:b w:val="0"/>
          <w:i w:val="0"/>
          <w:color w:val="1A1A1A"/>
          <w:sz w:val="19"/>
        </w:rPr>
        <w:t>Elephants rank among the most cognitively sophisticated non-human animals, sharing brain properties with great apes, cetaceans, and corvids:</w:t>
      </w:r>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jc w:val="center"/>
            </w:pPr>
            <w:r>
              <w:rPr>
                <w:rFonts w:ascii="Calibri" w:hAnsi="Calibri"/>
                <w:b/>
                <w:color w:val="FFFFFF"/>
                <w:sz w:val="17"/>
              </w:rPr>
              <w:t>Cognitive Ability</w:t>
            </w:r>
          </w:p>
        </w:tc>
        <w:tc>
          <w:tcPr>
            <w:tcW w:type="dxa" w:w="6520"/>
            <w:shd w:val="clear" w:color="auto" w:fill="2D6A4F"/>
          </w:tcPr>
          <w:p>
            <w:pPr>
              <w:jc w:val="center"/>
            </w:pPr>
            <w:r>
              <w:rPr>
                <w:rFonts w:ascii="Calibri" w:hAnsi="Calibri"/>
                <w:b/>
                <w:color w:val="FFFFFF"/>
                <w:sz w:val="17"/>
              </w:rPr>
              <w:t>Evidence / Study</w:t>
            </w:r>
          </w:p>
        </w:tc>
      </w:tr>
      <w:tr>
        <w:tc>
          <w:tcPr>
            <w:tcW w:type="dxa" w:w="2835"/>
            <w:shd w:val="clear" w:color="auto" w:fill="FFFFFF"/>
          </w:tcPr>
          <w:p>
            <w:r>
              <w:rPr>
                <w:rFonts w:ascii="Calibri" w:hAnsi="Calibri"/>
                <w:b w:val="0"/>
                <w:color w:val="1A1A1A"/>
                <w:sz w:val="17"/>
              </w:rPr>
              <w:t>Self-recognition (mirror test)</w:t>
            </w:r>
          </w:p>
        </w:tc>
        <w:tc>
          <w:tcPr>
            <w:tcW w:type="dxa" w:w="6520"/>
            <w:shd w:val="clear" w:color="auto" w:fill="FFFFFF"/>
          </w:tcPr>
          <w:p>
            <w:r>
              <w:rPr>
                <w:rFonts w:ascii="Calibri" w:hAnsi="Calibri"/>
                <w:b w:val="0"/>
                <w:color w:val="1A1A1A"/>
                <w:sz w:val="17"/>
              </w:rPr>
              <w:t>Plotnik et al. (2006) PNAS — Asian elephants pass mirror self-recognition test; indicates metacognition</w:t>
            </w:r>
          </w:p>
        </w:tc>
      </w:tr>
      <w:tr>
        <w:tc>
          <w:tcPr>
            <w:tcW w:type="dxa" w:w="2835"/>
            <w:shd w:val="clear" w:color="auto" w:fill="EAF7EE"/>
          </w:tcPr>
          <w:p>
            <w:r>
              <w:rPr>
                <w:rFonts w:ascii="Calibri" w:hAnsi="Calibri"/>
                <w:b w:val="0"/>
                <w:color w:val="1A1A1A"/>
                <w:sz w:val="17"/>
              </w:rPr>
              <w:t>Tool use</w:t>
            </w:r>
          </w:p>
        </w:tc>
        <w:tc>
          <w:tcPr>
            <w:tcW w:type="dxa" w:w="6520"/>
            <w:shd w:val="clear" w:color="auto" w:fill="EAF7EE"/>
          </w:tcPr>
          <w:p>
            <w:r>
              <w:rPr>
                <w:rFonts w:ascii="Calibri" w:hAnsi="Calibri"/>
                <w:b w:val="0"/>
                <w:color w:val="1A1A1A"/>
                <w:sz w:val="17"/>
              </w:rPr>
              <w:t>Use branches as fly whisks, modify objects, throw projectiles, use trunks as siphons</w:t>
            </w:r>
          </w:p>
        </w:tc>
      </w:tr>
      <w:tr>
        <w:tc>
          <w:tcPr>
            <w:tcW w:type="dxa" w:w="2835"/>
            <w:shd w:val="clear" w:color="auto" w:fill="FFFFFF"/>
          </w:tcPr>
          <w:p>
            <w:r>
              <w:rPr>
                <w:rFonts w:ascii="Calibri" w:hAnsi="Calibri"/>
                <w:b w:val="0"/>
                <w:color w:val="1A1A1A"/>
                <w:sz w:val="17"/>
              </w:rPr>
              <w:t>Social memory</w:t>
            </w:r>
          </w:p>
        </w:tc>
        <w:tc>
          <w:tcPr>
            <w:tcW w:type="dxa" w:w="6520"/>
            <w:shd w:val="clear" w:color="auto" w:fill="FFFFFF"/>
          </w:tcPr>
          <w:p>
            <w:r>
              <w:rPr>
                <w:rFonts w:ascii="Calibri" w:hAnsi="Calibri"/>
                <w:b w:val="0"/>
                <w:color w:val="1A1A1A"/>
                <w:sz w:val="17"/>
              </w:rPr>
              <w:t>&gt;100 individual recognition; remember trainer faces after 8–10 years separation (Hart et al. 2005)</w:t>
            </w:r>
          </w:p>
        </w:tc>
      </w:tr>
      <w:tr>
        <w:tc>
          <w:tcPr>
            <w:tcW w:type="dxa" w:w="2835"/>
            <w:shd w:val="clear" w:color="auto" w:fill="EAF7EE"/>
          </w:tcPr>
          <w:p>
            <w:r>
              <w:rPr>
                <w:rFonts w:ascii="Calibri" w:hAnsi="Calibri"/>
                <w:b w:val="0"/>
                <w:color w:val="1A1A1A"/>
                <w:sz w:val="17"/>
              </w:rPr>
              <w:t>Spatial memory</w:t>
            </w:r>
          </w:p>
        </w:tc>
        <w:tc>
          <w:tcPr>
            <w:tcW w:type="dxa" w:w="6520"/>
            <w:shd w:val="clear" w:color="auto" w:fill="EAF7EE"/>
          </w:tcPr>
          <w:p>
            <w:r>
              <w:rPr>
                <w:rFonts w:ascii="Calibri" w:hAnsi="Calibri"/>
                <w:b w:val="0"/>
                <w:color w:val="1A1A1A"/>
                <w:sz w:val="17"/>
              </w:rPr>
              <w:t>Decades-long recall of water source locations used during droughts</w:t>
            </w:r>
          </w:p>
        </w:tc>
      </w:tr>
      <w:tr>
        <w:tc>
          <w:tcPr>
            <w:tcW w:type="dxa" w:w="2835"/>
            <w:shd w:val="clear" w:color="auto" w:fill="FFFFFF"/>
          </w:tcPr>
          <w:p>
            <w:r>
              <w:rPr>
                <w:rFonts w:ascii="Calibri" w:hAnsi="Calibri"/>
                <w:b w:val="0"/>
                <w:color w:val="1A1A1A"/>
                <w:sz w:val="17"/>
              </w:rPr>
              <w:t>Empathy / prosocial</w:t>
            </w:r>
          </w:p>
        </w:tc>
        <w:tc>
          <w:tcPr>
            <w:tcW w:type="dxa" w:w="6520"/>
            <w:shd w:val="clear" w:color="auto" w:fill="FFFFFF"/>
          </w:tcPr>
          <w:p>
            <w:r>
              <w:rPr>
                <w:rFonts w:ascii="Calibri" w:hAnsi="Calibri"/>
                <w:b w:val="0"/>
                <w:color w:val="1A1A1A"/>
                <w:sz w:val="17"/>
              </w:rPr>
              <w:t>Documented consolation behaviour; coordinate to assist injured group members</w:t>
            </w:r>
          </w:p>
        </w:tc>
      </w:tr>
      <w:tr>
        <w:tc>
          <w:tcPr>
            <w:tcW w:type="dxa" w:w="2835"/>
            <w:shd w:val="clear" w:color="auto" w:fill="EAF7EE"/>
          </w:tcPr>
          <w:p>
            <w:r>
              <w:rPr>
                <w:rFonts w:ascii="Calibri" w:hAnsi="Calibri"/>
                <w:b w:val="0"/>
                <w:color w:val="1A1A1A"/>
                <w:sz w:val="17"/>
              </w:rPr>
              <w:t>Grief / mourning</w:t>
            </w:r>
          </w:p>
        </w:tc>
        <w:tc>
          <w:tcPr>
            <w:tcW w:type="dxa" w:w="6520"/>
            <w:shd w:val="clear" w:color="auto" w:fill="EAF7EE"/>
          </w:tcPr>
          <w:p>
            <w:r>
              <w:rPr>
                <w:rFonts w:ascii="Calibri" w:hAnsi="Calibri"/>
                <w:b w:val="0"/>
                <w:color w:val="1A1A1A"/>
                <w:sz w:val="17"/>
              </w:rPr>
              <w:t>Repeated vigil visits to carcasses; touching bones of deceased kin; documented by Moss, Poole &amp; Granli</w:t>
            </w:r>
          </w:p>
        </w:tc>
      </w:tr>
      <w:tr>
        <w:tc>
          <w:tcPr>
            <w:tcW w:type="dxa" w:w="2835"/>
            <w:shd w:val="clear" w:color="auto" w:fill="FFFFFF"/>
          </w:tcPr>
          <w:p>
            <w:r>
              <w:rPr>
                <w:rFonts w:ascii="Calibri" w:hAnsi="Calibri"/>
                <w:b w:val="0"/>
                <w:color w:val="1A1A1A"/>
                <w:sz w:val="17"/>
              </w:rPr>
              <w:t>Counting / quantity discrimination</w:t>
            </w:r>
          </w:p>
        </w:tc>
        <w:tc>
          <w:tcPr>
            <w:tcW w:type="dxa" w:w="6520"/>
            <w:shd w:val="clear" w:color="auto" w:fill="FFFFFF"/>
          </w:tcPr>
          <w:p>
            <w:r>
              <w:rPr>
                <w:rFonts w:ascii="Calibri" w:hAnsi="Calibri"/>
                <w:b w:val="0"/>
                <w:color w:val="1A1A1A"/>
                <w:sz w:val="17"/>
              </w:rPr>
              <w:t>Experimental studies confirm quantity discrimination up to several tens</w:t>
            </w:r>
          </w:p>
        </w:tc>
      </w:tr>
      <w:tr>
        <w:tc>
          <w:tcPr>
            <w:tcW w:type="dxa" w:w="2835"/>
            <w:shd w:val="clear" w:color="auto" w:fill="EAF7EE"/>
          </w:tcPr>
          <w:p>
            <w:r>
              <w:rPr>
                <w:rFonts w:ascii="Calibri" w:hAnsi="Calibri"/>
                <w:b w:val="0"/>
                <w:color w:val="1A1A1A"/>
                <w:sz w:val="17"/>
              </w:rPr>
              <w:t>Cooperation</w:t>
            </w:r>
          </w:p>
        </w:tc>
        <w:tc>
          <w:tcPr>
            <w:tcW w:type="dxa" w:w="6520"/>
            <w:shd w:val="clear" w:color="auto" w:fill="EAF7EE"/>
          </w:tcPr>
          <w:p>
            <w:r>
              <w:rPr>
                <w:rFonts w:ascii="Calibri" w:hAnsi="Calibri"/>
                <w:b w:val="0"/>
                <w:color w:val="1A1A1A"/>
                <w:sz w:val="17"/>
              </w:rPr>
              <w:t>Coordinate trunk-and-foot actions to solve tasks impossible alone (Plotnik et al.)</w:t>
            </w:r>
          </w:p>
        </w:tc>
      </w:tr>
    </w:tbl>
    <w:p>
      <w:pPr>
        <w:spacing w:after="40"/>
      </w:pPr>
    </w:p>
    <w:p>
      <w:pPr>
        <w:spacing w:after="40"/>
        <w:ind w:left="283" w:hanging="170"/>
      </w:pPr>
      <w:r>
        <w:rPr>
          <w:rFonts w:ascii="Calibri" w:hAnsi="Calibri"/>
          <w:color w:val="1A1A1A"/>
          <w:sz w:val="19"/>
        </w:rPr>
        <w:t>•  Von Economo neurons (VENs) found in elephant anterior insula and anterior cingulate cortex (Hakeem et al. 2006) — the same "social intuition" neurons found in humans and great apes; associated with rapid social decision-making</w:t>
      </w:r>
    </w:p>
    <w:p>
      <w:pPr>
        <w:spacing w:after="40"/>
        <w:ind w:left="283" w:hanging="170"/>
      </w:pPr>
      <w:r>
        <w:rPr>
          <w:rFonts w:ascii="Calibri" w:hAnsi="Calibri"/>
          <w:color w:val="1A1A1A"/>
          <w:sz w:val="19"/>
        </w:rPr>
        <w:t>•  Hippocampus: 6.5–7.5 g in adult elephants (human: ~2.5 g) — disproportionately large; underpins long-term memory (Hakeem et al. 2005)</w:t>
      </w:r>
    </w:p>
    <w:p>
      <w:pPr>
        <w:spacing w:after="40"/>
        <w:ind w:left="283" w:hanging="170"/>
      </w:pPr>
      <w:r>
        <w:rPr>
          <w:rFonts w:ascii="Calibri" w:hAnsi="Calibri"/>
          <w:color w:val="1A1A1A"/>
          <w:sz w:val="19"/>
        </w:rPr>
        <w:t>•  Total neurons: ~257 billion (African elephant); ~97.5% located in cerebellum — fine motor coordination; only ~5.6 billion in cerebral cortex (fewer cortical neurons than humans despite larger brain)</w:t>
      </w:r>
    </w:p>
    <w:p>
      <w:pPr>
        <w:pStyle w:val="Heading2"/>
        <w:spacing w:before="80" w:after="40"/>
      </w:pPr>
      <w:r>
        <w:t>12.4  Locomotion</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12.4  Locomotion</w:t>
            </w:r>
          </w:p>
        </w:tc>
      </w:tr>
    </w:tbl>
    <w:p>
      <w:pPr>
        <w:spacing w:after="40"/>
      </w:pPr>
    </w:p>
    <w:p>
      <w:pPr>
        <w:spacing w:after="40"/>
        <w:ind w:left="283" w:hanging="170"/>
      </w:pPr>
      <w:r>
        <w:rPr>
          <w:rFonts w:ascii="Calibri" w:hAnsi="Calibri"/>
          <w:color w:val="1A1A1A"/>
          <w:sz w:val="19"/>
        </w:rPr>
        <w:t>•  Four gaits used: slow walk (1.4 m/s typical), fast walk, "running" (up to 25 km/h / 6.9 m/s), and swimming</w:t>
      </w:r>
    </w:p>
    <w:p>
      <w:pPr>
        <w:spacing w:after="40"/>
        <w:ind w:left="283" w:hanging="170"/>
      </w:pPr>
      <w:r>
        <w:rPr>
          <w:rFonts w:ascii="Calibri" w:hAnsi="Calibri"/>
          <w:color w:val="1A1A1A"/>
          <w:sz w:val="19"/>
        </w:rPr>
        <w:t>•  NO TRUE GALLOP: elephants use an accelerated "fast walk" where at least one foot always contacts the ground (Hutchinson et al. 2006) — physically impossible to gallop due to columnar limb architecture</w:t>
      </w:r>
    </w:p>
    <w:p>
      <w:pPr>
        <w:spacing w:after="40"/>
        <w:ind w:left="283" w:hanging="170"/>
      </w:pPr>
      <w:r>
        <w:rPr>
          <w:rFonts w:ascii="Calibri" w:hAnsi="Calibri"/>
          <w:color w:val="1A1A1A"/>
          <w:sz w:val="19"/>
        </w:rPr>
        <w:t>•  Ground pressure: ~20 N/cm² (similar to a human) — distributed across large foot area by fat pad, despite 3–5 tonne body weight</w:t>
      </w:r>
    </w:p>
    <w:p>
      <w:pPr>
        <w:spacing w:after="40"/>
        <w:ind w:left="283" w:hanging="170"/>
      </w:pPr>
      <w:r>
        <w:rPr>
          <w:rFonts w:ascii="Calibri" w:hAnsi="Calibri"/>
          <w:color w:val="1A1A1A"/>
          <w:sz w:val="19"/>
        </w:rPr>
        <w:t>•  Elastic energy storage in foot pad (Ker et al. 2010) returns ~25–30% of energy per step — reduces metabolic cost of locomotion</w:t>
      </w:r>
    </w:p>
    <w:p>
      <w:pPr>
        <w:spacing w:after="40"/>
        <w:ind w:left="283" w:hanging="170"/>
      </w:pPr>
      <w:r>
        <w:rPr>
          <w:rFonts w:ascii="Calibri" w:hAnsi="Calibri"/>
          <w:color w:val="1A1A1A"/>
          <w:sz w:val="19"/>
        </w:rPr>
        <w:t>•  Excellent swimmers: use trunk as snorkel; can swim for hours; documented 48 km sea crossings (Sri Lanka channel)</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FIELD NOTE: Elephants can silently approach at walking speed of up to 5 km/h and "run" at 25 km/h — faster than most untrained humans. Never assume an elephant cannot reach you quickly based on its apparent bulk.</w:t>
            </w:r>
          </w:p>
        </w:tc>
      </w:tr>
    </w:tbl>
    <w:p>
      <w:pPr>
        <w:spacing w:after="40"/>
      </w:pPr>
    </w:p>
    <w:p/>
    <w:p>
      <w:pPr>
        <w:spacing w:before="0" w:after="0"/>
      </w:pPr>
      <w:r>
        <w:br w:type="page"/>
      </w:r>
    </w:p>
    <w:p>
      <w:pPr>
        <w:pStyle w:val="Heading1"/>
        <w:spacing w:before="160" w:after="40"/>
      </w:pPr>
      <w:r>
        <w:t>13.  Reproductive Endocrinology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13.  Reproductive Endocrinology</w:t>
            </w:r>
          </w:p>
        </w:tc>
      </w:tr>
    </w:tbl>
    <w:p>
      <w:pPr>
        <w:spacing w:after="40"/>
      </w:pPr>
    </w:p>
    <w:p>
      <w:pPr>
        <w:pStyle w:val="Heading2"/>
        <w:spacing w:before="80" w:after="40"/>
      </w:pPr>
      <w:r>
        <w:t>13.1  Unique Double LH Surge — Oestrous Cycle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13.1  Unique Double LH Surge — Oestrous Cycle</w:t>
            </w:r>
          </w:p>
        </w:tc>
      </w:tr>
    </w:tbl>
    <w:p>
      <w:pPr>
        <w:spacing w:after="40"/>
      </w:pPr>
    </w:p>
    <w:p>
      <w:pPr>
        <w:spacing w:after="80"/>
        <w:jc w:val="left"/>
      </w:pPr>
      <w:r>
        <w:rPr>
          <w:rFonts w:ascii="Calibri" w:hAnsi="Calibri"/>
          <w:b w:val="0"/>
          <w:i w:val="0"/>
          <w:color w:val="1A1A1A"/>
          <w:sz w:val="19"/>
        </w:rPr>
        <w:t>Elephants possess the most unusual reproductive cycle of any land mammal. Unlike all other species which have a single pre-ovulatory LH surge, elephants have TWO sequential LH surges per cycle — an anovulatory surge followed by an ovulatory surge approximately 3 weeks later:</w:t>
      </w:r>
    </w:p>
    <w:tbl>
      <w:tblPr>
        <w:tblStyle w:val="TableGrid"/>
        <w:tblW w:type="auto" w:w="0"/>
        <w:tblLook w:firstColumn="1" w:firstRow="1" w:lastColumn="0" w:lastRow="0" w:noHBand="0" w:noVBand="1" w:val="04A0"/>
      </w:tblPr>
      <w:tblGrid>
        <w:gridCol w:w="3213"/>
        <w:gridCol w:w="3213"/>
        <w:gridCol w:w="3213"/>
      </w:tblGrid>
      <w:tr>
        <w:tc>
          <w:tcPr>
            <w:tcW w:type="dxa" w:w="2551"/>
            <w:shd w:val="clear" w:color="auto" w:fill="2D6A4F"/>
          </w:tcPr>
          <w:p>
            <w:pPr>
              <w:jc w:val="center"/>
            </w:pPr>
            <w:r>
              <w:rPr>
                <w:rFonts w:ascii="Calibri" w:hAnsi="Calibri"/>
                <w:b/>
                <w:color w:val="FFFFFF"/>
                <w:sz w:val="17"/>
              </w:rPr>
              <w:t>Event</w:t>
            </w:r>
          </w:p>
        </w:tc>
        <w:tc>
          <w:tcPr>
            <w:tcW w:type="dxa" w:w="2835"/>
            <w:shd w:val="clear" w:color="auto" w:fill="2D6A4F"/>
          </w:tcPr>
          <w:p>
            <w:pPr>
              <w:jc w:val="center"/>
            </w:pPr>
            <w:r>
              <w:rPr>
                <w:rFonts w:ascii="Calibri" w:hAnsi="Calibri"/>
                <w:b/>
                <w:color w:val="FFFFFF"/>
                <w:sz w:val="17"/>
              </w:rPr>
              <w:t>Timing</w:t>
            </w:r>
          </w:p>
        </w:tc>
        <w:tc>
          <w:tcPr>
            <w:tcW w:type="dxa" w:w="3969"/>
            <w:shd w:val="clear" w:color="auto" w:fill="2D6A4F"/>
          </w:tcPr>
          <w:p>
            <w:pPr>
              <w:jc w:val="center"/>
            </w:pPr>
            <w:r>
              <w:rPr>
                <w:rFonts w:ascii="Calibri" w:hAnsi="Calibri"/>
                <w:b/>
                <w:color w:val="FFFFFF"/>
                <w:sz w:val="17"/>
              </w:rPr>
              <w:t>Significance</w:t>
            </w:r>
          </w:p>
        </w:tc>
      </w:tr>
      <w:tr>
        <w:tc>
          <w:tcPr>
            <w:tcW w:type="dxa" w:w="2551"/>
            <w:shd w:val="clear" w:color="auto" w:fill="FFFFFF"/>
          </w:tcPr>
          <w:p>
            <w:r>
              <w:rPr>
                <w:rFonts w:ascii="Calibri" w:hAnsi="Calibri"/>
                <w:b w:val="0"/>
                <w:color w:val="1A1A1A"/>
                <w:sz w:val="17"/>
              </w:rPr>
              <w:t>Luteal phase ends</w:t>
            </w:r>
          </w:p>
        </w:tc>
        <w:tc>
          <w:tcPr>
            <w:tcW w:type="dxa" w:w="2835"/>
            <w:shd w:val="clear" w:color="auto" w:fill="FFFFFF"/>
          </w:tcPr>
          <w:p>
            <w:r>
              <w:rPr>
                <w:rFonts w:ascii="Calibri" w:hAnsi="Calibri"/>
                <w:b w:val="0"/>
                <w:color w:val="1A1A1A"/>
                <w:sz w:val="17"/>
              </w:rPr>
              <w:t>Week 0</w:t>
            </w:r>
          </w:p>
        </w:tc>
        <w:tc>
          <w:tcPr>
            <w:tcW w:type="dxa" w:w="3969"/>
            <w:shd w:val="clear" w:color="auto" w:fill="FFFFFF"/>
          </w:tcPr>
          <w:p>
            <w:r>
              <w:rPr>
                <w:rFonts w:ascii="Calibri" w:hAnsi="Calibri"/>
                <w:b w:val="0"/>
                <w:color w:val="1A1A1A"/>
                <w:sz w:val="17"/>
              </w:rPr>
              <w:t>Progesterone falls below threshold</w:t>
            </w:r>
          </w:p>
        </w:tc>
      </w:tr>
      <w:tr>
        <w:tc>
          <w:tcPr>
            <w:tcW w:type="dxa" w:w="2551"/>
            <w:shd w:val="clear" w:color="auto" w:fill="EAF7EE"/>
          </w:tcPr>
          <w:p>
            <w:r>
              <w:rPr>
                <w:rFonts w:ascii="Calibri" w:hAnsi="Calibri"/>
                <w:b w:val="0"/>
                <w:color w:val="1A1A1A"/>
                <w:sz w:val="17"/>
              </w:rPr>
              <w:t>Anovulatory LH surge (anLH)</w:t>
            </w:r>
          </w:p>
        </w:tc>
        <w:tc>
          <w:tcPr>
            <w:tcW w:type="dxa" w:w="2835"/>
            <w:shd w:val="clear" w:color="auto" w:fill="EAF7EE"/>
          </w:tcPr>
          <w:p>
            <w:r>
              <w:rPr>
                <w:rFonts w:ascii="Calibri" w:hAnsi="Calibri"/>
                <w:b w:val="0"/>
                <w:color w:val="1A1A1A"/>
                <w:sz w:val="17"/>
              </w:rPr>
              <w:t>19.9 ± 1.2 days after luteal end</w:t>
            </w:r>
          </w:p>
        </w:tc>
        <w:tc>
          <w:tcPr>
            <w:tcW w:type="dxa" w:w="3969"/>
            <w:shd w:val="clear" w:color="auto" w:fill="EAF7EE"/>
          </w:tcPr>
          <w:p>
            <w:r>
              <w:rPr>
                <w:rFonts w:ascii="Calibri" w:hAnsi="Calibri"/>
                <w:b w:val="0"/>
                <w:color w:val="1A1A1A"/>
                <w:sz w:val="17"/>
              </w:rPr>
              <w:t>Unique to elephants — triggers follicular development; NO ovulation occurs</w:t>
            </w:r>
          </w:p>
        </w:tc>
      </w:tr>
      <w:tr>
        <w:tc>
          <w:tcPr>
            <w:tcW w:type="dxa" w:w="2551"/>
            <w:shd w:val="clear" w:color="auto" w:fill="FFFFFF"/>
          </w:tcPr>
          <w:p>
            <w:r>
              <w:rPr>
                <w:rFonts w:ascii="Calibri" w:hAnsi="Calibri"/>
                <w:b w:val="0"/>
                <w:color w:val="1A1A1A"/>
                <w:sz w:val="17"/>
              </w:rPr>
              <w:t>Ovulatory LH surge (ovLH)</w:t>
            </w:r>
          </w:p>
        </w:tc>
        <w:tc>
          <w:tcPr>
            <w:tcW w:type="dxa" w:w="2835"/>
            <w:shd w:val="clear" w:color="auto" w:fill="FFFFFF"/>
          </w:tcPr>
          <w:p>
            <w:r>
              <w:rPr>
                <w:rFonts w:ascii="Calibri" w:hAnsi="Calibri"/>
                <w:b w:val="0"/>
                <w:color w:val="1A1A1A"/>
                <w:sz w:val="17"/>
              </w:rPr>
              <w:t>20.8 ± 0.5 days after anLH surge</w:t>
            </w:r>
          </w:p>
        </w:tc>
        <w:tc>
          <w:tcPr>
            <w:tcW w:type="dxa" w:w="3969"/>
            <w:shd w:val="clear" w:color="auto" w:fill="FFFFFF"/>
          </w:tcPr>
          <w:p>
            <w:r>
              <w:rPr>
                <w:rFonts w:ascii="Calibri" w:hAnsi="Calibri"/>
                <w:b w:val="0"/>
                <w:color w:val="1A1A1A"/>
                <w:sz w:val="17"/>
              </w:rPr>
              <w:t>True pre-ovulatory surge — ovulation occurs 1–3 days later</w:t>
            </w:r>
          </w:p>
        </w:tc>
      </w:tr>
      <w:tr>
        <w:tc>
          <w:tcPr>
            <w:tcW w:type="dxa" w:w="2551"/>
            <w:shd w:val="clear" w:color="auto" w:fill="EAF7EE"/>
          </w:tcPr>
          <w:p>
            <w:r>
              <w:rPr>
                <w:rFonts w:ascii="Calibri" w:hAnsi="Calibri"/>
                <w:b w:val="0"/>
                <w:color w:val="1A1A1A"/>
                <w:sz w:val="17"/>
              </w:rPr>
              <w:t>Progesterone rise</w:t>
            </w:r>
          </w:p>
        </w:tc>
        <w:tc>
          <w:tcPr>
            <w:tcW w:type="dxa" w:w="2835"/>
            <w:shd w:val="clear" w:color="auto" w:fill="EAF7EE"/>
          </w:tcPr>
          <w:p>
            <w:r>
              <w:rPr>
                <w:rFonts w:ascii="Calibri" w:hAnsi="Calibri"/>
                <w:b w:val="0"/>
                <w:color w:val="1A1A1A"/>
                <w:sz w:val="17"/>
              </w:rPr>
              <w:t>1–3 days post-ovulation</w:t>
            </w:r>
          </w:p>
        </w:tc>
        <w:tc>
          <w:tcPr>
            <w:tcW w:type="dxa" w:w="3969"/>
            <w:shd w:val="clear" w:color="auto" w:fill="EAF7EE"/>
          </w:tcPr>
          <w:p>
            <w:r>
              <w:rPr>
                <w:rFonts w:ascii="Calibri" w:hAnsi="Calibri"/>
                <w:b w:val="0"/>
                <w:color w:val="1A1A1A"/>
                <w:sz w:val="17"/>
              </w:rPr>
              <w:t>Marks start of luteal phase</w:t>
            </w:r>
          </w:p>
        </w:tc>
      </w:tr>
      <w:tr>
        <w:tc>
          <w:tcPr>
            <w:tcW w:type="dxa" w:w="2551"/>
            <w:shd w:val="clear" w:color="auto" w:fill="FFFFFF"/>
          </w:tcPr>
          <w:p>
            <w:r>
              <w:rPr>
                <w:rFonts w:ascii="Calibri" w:hAnsi="Calibri"/>
                <w:b w:val="0"/>
                <w:color w:val="1A1A1A"/>
                <w:sz w:val="17"/>
              </w:rPr>
              <w:t>Total cycle length</w:t>
            </w:r>
          </w:p>
        </w:tc>
        <w:tc>
          <w:tcPr>
            <w:tcW w:type="dxa" w:w="2835"/>
            <w:shd w:val="clear" w:color="auto" w:fill="FFFFFF"/>
          </w:tcPr>
          <w:p>
            <w:r>
              <w:rPr>
                <w:rFonts w:ascii="Calibri" w:hAnsi="Calibri"/>
                <w:b w:val="0"/>
                <w:color w:val="1A1A1A"/>
                <w:sz w:val="17"/>
              </w:rPr>
              <w:t>12–18 weeks (typically 13–15 weeks)</w:t>
            </w:r>
          </w:p>
        </w:tc>
        <w:tc>
          <w:tcPr>
            <w:tcW w:type="dxa" w:w="3969"/>
            <w:shd w:val="clear" w:color="auto" w:fill="FFFFFF"/>
          </w:tcPr>
          <w:p>
            <w:r>
              <w:rPr>
                <w:rFonts w:ascii="Calibri" w:hAnsi="Calibri"/>
                <w:b w:val="0"/>
                <w:color w:val="1A1A1A"/>
                <w:sz w:val="17"/>
              </w:rPr>
              <w:t>Among the longest reproductive cycles of any mammal</w:t>
            </w:r>
          </w:p>
        </w:tc>
      </w:tr>
    </w:tbl>
    <w:p>
      <w:pPr>
        <w:spacing w:after="40"/>
      </w:pPr>
    </w:p>
    <w:p>
      <w:pPr>
        <w:spacing w:after="40"/>
        <w:ind w:left="283" w:hanging="170"/>
      </w:pPr>
      <w:r>
        <w:rPr>
          <w:rFonts w:ascii="Calibri" w:hAnsi="Calibri"/>
          <w:color w:val="1A1A1A"/>
          <w:sz w:val="19"/>
        </w:rPr>
        <w:t>•  Function of the anovulatory LH surge remains unknown — a unique physiological phenomenon not seen in any other mammal</w:t>
      </w:r>
    </w:p>
    <w:p>
      <w:pPr>
        <w:spacing w:after="40"/>
        <w:ind w:left="283" w:hanging="170"/>
      </w:pPr>
      <w:r>
        <w:rPr>
          <w:rFonts w:ascii="Calibri" w:hAnsi="Calibri"/>
          <w:color w:val="1A1A1A"/>
          <w:sz w:val="19"/>
        </w:rPr>
        <w:t>•  Pregnancy diagnosis: serum progestins rarely exceed 1.6 ng/mL — much lower than most mammals; fecal 5α-P-3OH metabolites are the preferred non-invasive monitoring tool</w:t>
      </w:r>
    </w:p>
    <w:p>
      <w:pPr>
        <w:spacing w:after="40"/>
        <w:ind w:left="283" w:hanging="170"/>
      </w:pPr>
      <w:r>
        <w:rPr>
          <w:rFonts w:ascii="Calibri" w:hAnsi="Calibri"/>
          <w:color w:val="1A1A1A"/>
          <w:sz w:val="19"/>
        </w:rPr>
        <w:t>•  Prolactin increases 100-fold during gestation (peaks months 11–14 of the 22-month gestation) — higher than cycling baseline of ~6–18 ng/mL</w:t>
      </w:r>
    </w:p>
    <w:p>
      <w:pPr>
        <w:spacing w:after="40"/>
        <w:ind w:left="283" w:hanging="170"/>
      </w:pPr>
      <w:r>
        <w:rPr>
          <w:rFonts w:ascii="Calibri" w:hAnsi="Calibri"/>
          <w:color w:val="1A1A1A"/>
          <w:sz w:val="19"/>
        </w:rPr>
        <w:t>•  Hyperprolactinaemia (&gt;31 ng/mL) suppresses GnRH → causes anovulation; linked to social instability in captive elephants</w:t>
      </w:r>
    </w:p>
    <w:p>
      <w:pPr>
        <w:pStyle w:val="Heading2"/>
        <w:spacing w:before="80" w:after="40"/>
      </w:pPr>
      <w:r>
        <w:t>13.2  Musth Endocrinology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13.2  Musth Endocrinology</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Parameter</w:t>
            </w:r>
          </w:p>
        </w:tc>
        <w:tc>
          <w:tcPr>
            <w:tcW w:type="dxa" w:w="1984"/>
            <w:shd w:val="clear" w:color="auto" w:fill="2D6A4F"/>
          </w:tcPr>
          <w:p>
            <w:pPr>
              <w:jc w:val="center"/>
            </w:pPr>
            <w:r>
              <w:rPr>
                <w:rFonts w:ascii="Calibri" w:hAnsi="Calibri"/>
                <w:b/>
                <w:color w:val="FFFFFF"/>
                <w:sz w:val="17"/>
              </w:rPr>
              <w:t>Non-Musth</w:t>
            </w:r>
          </w:p>
        </w:tc>
        <w:tc>
          <w:tcPr>
            <w:tcW w:type="dxa" w:w="1984"/>
            <w:shd w:val="clear" w:color="auto" w:fill="2D6A4F"/>
          </w:tcPr>
          <w:p>
            <w:pPr>
              <w:jc w:val="center"/>
            </w:pPr>
            <w:r>
              <w:rPr>
                <w:rFonts w:ascii="Calibri" w:hAnsi="Calibri"/>
                <w:b/>
                <w:color w:val="FFFFFF"/>
                <w:sz w:val="17"/>
              </w:rPr>
              <w:t>Pre-Musth</w:t>
            </w:r>
          </w:p>
        </w:tc>
        <w:tc>
          <w:tcPr>
            <w:tcW w:type="dxa" w:w="3118"/>
            <w:shd w:val="clear" w:color="auto" w:fill="2D6A4F"/>
          </w:tcPr>
          <w:p>
            <w:pPr>
              <w:jc w:val="center"/>
            </w:pPr>
            <w:r>
              <w:rPr>
                <w:rFonts w:ascii="Calibri" w:hAnsi="Calibri"/>
                <w:b/>
                <w:color w:val="FFFFFF"/>
                <w:sz w:val="17"/>
              </w:rPr>
              <w:t>Musth Peak</w:t>
            </w:r>
          </w:p>
        </w:tc>
      </w:tr>
      <w:tr>
        <w:tc>
          <w:tcPr>
            <w:tcW w:type="dxa" w:w="2268"/>
            <w:shd w:val="clear" w:color="auto" w:fill="FFFFFF"/>
          </w:tcPr>
          <w:p>
            <w:r>
              <w:rPr>
                <w:rFonts w:ascii="Calibri" w:hAnsi="Calibri"/>
                <w:b w:val="0"/>
                <w:color w:val="1A1A1A"/>
                <w:sz w:val="17"/>
              </w:rPr>
              <w:t>Testosterone (serum)</w:t>
            </w:r>
          </w:p>
        </w:tc>
        <w:tc>
          <w:tcPr>
            <w:tcW w:type="dxa" w:w="1984"/>
            <w:shd w:val="clear" w:color="auto" w:fill="FFFFFF"/>
          </w:tcPr>
          <w:p>
            <w:r>
              <w:rPr>
                <w:rFonts w:ascii="Calibri" w:hAnsi="Calibri"/>
                <w:b w:val="0"/>
                <w:color w:val="1A1A1A"/>
                <w:sz w:val="17"/>
              </w:rPr>
              <w:t>3.05 ± 0.60 ng/mL</w:t>
            </w:r>
          </w:p>
        </w:tc>
        <w:tc>
          <w:tcPr>
            <w:tcW w:type="dxa" w:w="1984"/>
            <w:shd w:val="clear" w:color="auto" w:fill="FFFFFF"/>
          </w:tcPr>
          <w:p>
            <w:r>
              <w:rPr>
                <w:rFonts w:ascii="Calibri" w:hAnsi="Calibri"/>
                <w:b w:val="0"/>
                <w:color w:val="1A1A1A"/>
                <w:sz w:val="17"/>
              </w:rPr>
              <w:t>Rising; 2–5× baseline</w:t>
            </w:r>
          </w:p>
        </w:tc>
        <w:tc>
          <w:tcPr>
            <w:tcW w:type="dxa" w:w="3118"/>
            <w:shd w:val="clear" w:color="auto" w:fill="FFFFFF"/>
          </w:tcPr>
          <w:p>
            <w:r>
              <w:rPr>
                <w:rFonts w:ascii="Calibri" w:hAnsi="Calibri"/>
                <w:b w:val="0"/>
                <w:color w:val="1A1A1A"/>
                <w:sz w:val="17"/>
              </w:rPr>
              <w:t>19–40 ng/mL (avg 26 ng/mL)</w:t>
            </w:r>
          </w:p>
        </w:tc>
      </w:tr>
      <w:tr>
        <w:tc>
          <w:tcPr>
            <w:tcW w:type="dxa" w:w="2268"/>
            <w:shd w:val="clear" w:color="auto" w:fill="EAF7EE"/>
          </w:tcPr>
          <w:p>
            <w:r>
              <w:rPr>
                <w:rFonts w:ascii="Calibri" w:hAnsi="Calibri"/>
                <w:b w:val="0"/>
                <w:color w:val="1A1A1A"/>
                <w:sz w:val="17"/>
              </w:rPr>
              <w:t>LH pattern</w:t>
            </w:r>
          </w:p>
        </w:tc>
        <w:tc>
          <w:tcPr>
            <w:tcW w:type="dxa" w:w="1984"/>
            <w:shd w:val="clear" w:color="auto" w:fill="EAF7EE"/>
          </w:tcPr>
          <w:p>
            <w:r>
              <w:rPr>
                <w:rFonts w:ascii="Calibri" w:hAnsi="Calibri"/>
                <w:b w:val="0"/>
                <w:color w:val="1A1A1A"/>
                <w:sz w:val="17"/>
              </w:rPr>
              <w:t>Baseline</w:t>
            </w:r>
          </w:p>
        </w:tc>
        <w:tc>
          <w:tcPr>
            <w:tcW w:type="dxa" w:w="1984"/>
            <w:shd w:val="clear" w:color="auto" w:fill="EAF7EE"/>
          </w:tcPr>
          <w:p>
            <w:r>
              <w:rPr>
                <w:rFonts w:ascii="Calibri" w:hAnsi="Calibri"/>
                <w:b w:val="0"/>
                <w:color w:val="1A1A1A"/>
                <w:sz w:val="17"/>
              </w:rPr>
              <w:t>Begins rising 4 weeks before musth</w:t>
            </w:r>
          </w:p>
        </w:tc>
        <w:tc>
          <w:tcPr>
            <w:tcW w:type="dxa" w:w="3118"/>
            <w:shd w:val="clear" w:color="auto" w:fill="EAF7EE"/>
          </w:tcPr>
          <w:p>
            <w:r>
              <w:rPr>
                <w:rFonts w:ascii="Calibri" w:hAnsi="Calibri"/>
                <w:b w:val="0"/>
                <w:color w:val="1A1A1A"/>
                <w:sz w:val="17"/>
              </w:rPr>
              <w:t>Elevated; heightened testis sensitivity</w:t>
            </w:r>
          </w:p>
        </w:tc>
      </w:tr>
      <w:tr>
        <w:tc>
          <w:tcPr>
            <w:tcW w:type="dxa" w:w="2268"/>
            <w:shd w:val="clear" w:color="auto" w:fill="FFFFFF"/>
          </w:tcPr>
          <w:p>
            <w:r>
              <w:rPr>
                <w:rFonts w:ascii="Calibri" w:hAnsi="Calibri"/>
                <w:b w:val="0"/>
                <w:color w:val="1A1A1A"/>
                <w:sz w:val="17"/>
              </w:rPr>
              <w:t>Temporal gland</w:t>
            </w:r>
          </w:p>
        </w:tc>
        <w:tc>
          <w:tcPr>
            <w:tcW w:type="dxa" w:w="1984"/>
            <w:shd w:val="clear" w:color="auto" w:fill="FFFFFF"/>
          </w:tcPr>
          <w:p>
            <w:r>
              <w:rPr>
                <w:rFonts w:ascii="Calibri" w:hAnsi="Calibri"/>
                <w:b w:val="0"/>
                <w:color w:val="1A1A1A"/>
                <w:sz w:val="17"/>
              </w:rPr>
              <w:t>Inactive / dry</w:t>
            </w:r>
          </w:p>
        </w:tc>
        <w:tc>
          <w:tcPr>
            <w:tcW w:type="dxa" w:w="1984"/>
            <w:shd w:val="clear" w:color="auto" w:fill="FFFFFF"/>
          </w:tcPr>
          <w:p>
            <w:r>
              <w:rPr>
                <w:rFonts w:ascii="Calibri" w:hAnsi="Calibri"/>
                <w:b w:val="0"/>
                <w:color w:val="1A1A1A"/>
                <w:sz w:val="17"/>
              </w:rPr>
              <w:t>Slight activation</w:t>
            </w:r>
          </w:p>
        </w:tc>
        <w:tc>
          <w:tcPr>
            <w:tcW w:type="dxa" w:w="3118"/>
            <w:shd w:val="clear" w:color="auto" w:fill="FFFFFF"/>
          </w:tcPr>
          <w:p>
            <w:r>
              <w:rPr>
                <w:rFonts w:ascii="Calibri" w:hAnsi="Calibri"/>
                <w:b w:val="0"/>
                <w:color w:val="1A1A1A"/>
                <w:sz w:val="17"/>
              </w:rPr>
              <w:t>Heavy temporin secretion (dark, tar-like)</w:t>
            </w:r>
          </w:p>
        </w:tc>
      </w:tr>
      <w:tr>
        <w:tc>
          <w:tcPr>
            <w:tcW w:type="dxa" w:w="2268"/>
            <w:shd w:val="clear" w:color="auto" w:fill="EAF7EE"/>
          </w:tcPr>
          <w:p>
            <w:r>
              <w:rPr>
                <w:rFonts w:ascii="Calibri" w:hAnsi="Calibri"/>
                <w:b w:val="0"/>
                <w:color w:val="1A1A1A"/>
                <w:sz w:val="17"/>
              </w:rPr>
              <w:t>Urine dribbling</w:t>
            </w:r>
          </w:p>
        </w:tc>
        <w:tc>
          <w:tcPr>
            <w:tcW w:type="dxa" w:w="1984"/>
            <w:shd w:val="clear" w:color="auto" w:fill="EAF7EE"/>
          </w:tcPr>
          <w:p>
            <w:r>
              <w:rPr>
                <w:rFonts w:ascii="Calibri" w:hAnsi="Calibri"/>
                <w:b w:val="0"/>
                <w:color w:val="1A1A1A"/>
                <w:sz w:val="17"/>
              </w:rPr>
              <w:t>Absent</w:t>
            </w:r>
          </w:p>
        </w:tc>
        <w:tc>
          <w:tcPr>
            <w:tcW w:type="dxa" w:w="1984"/>
            <w:shd w:val="clear" w:color="auto" w:fill="EAF7EE"/>
          </w:tcPr>
          <w:p>
            <w:r>
              <w:rPr>
                <w:rFonts w:ascii="Calibri" w:hAnsi="Calibri"/>
                <w:b w:val="0"/>
                <w:color w:val="1A1A1A"/>
                <w:sz w:val="17"/>
              </w:rPr>
              <w:t>Mild</w:t>
            </w:r>
          </w:p>
        </w:tc>
        <w:tc>
          <w:tcPr>
            <w:tcW w:type="dxa" w:w="3118"/>
            <w:shd w:val="clear" w:color="auto" w:fill="EAF7EE"/>
          </w:tcPr>
          <w:p>
            <w:r>
              <w:rPr>
                <w:rFonts w:ascii="Calibri" w:hAnsi="Calibri"/>
                <w:b w:val="0"/>
                <w:color w:val="1A1A1A"/>
                <w:sz w:val="17"/>
              </w:rPr>
              <w:t>Continuous; green-tinged</w:t>
            </w:r>
          </w:p>
        </w:tc>
      </w:tr>
      <w:tr>
        <w:tc>
          <w:tcPr>
            <w:tcW w:type="dxa" w:w="2268"/>
            <w:shd w:val="clear" w:color="auto" w:fill="FFFFFF"/>
          </w:tcPr>
          <w:p>
            <w:r>
              <w:rPr>
                <w:rFonts w:ascii="Calibri" w:hAnsi="Calibri"/>
                <w:b w:val="0"/>
                <w:color w:val="1A1A1A"/>
                <w:sz w:val="17"/>
              </w:rPr>
              <w:t>Cortisol</w:t>
            </w:r>
          </w:p>
        </w:tc>
        <w:tc>
          <w:tcPr>
            <w:tcW w:type="dxa" w:w="1984"/>
            <w:shd w:val="clear" w:color="auto" w:fill="FFFFFF"/>
          </w:tcPr>
          <w:p>
            <w:r>
              <w:rPr>
                <w:rFonts w:ascii="Calibri" w:hAnsi="Calibri"/>
                <w:b w:val="0"/>
                <w:color w:val="1A1A1A"/>
                <w:sz w:val="17"/>
              </w:rPr>
              <w:t>Normal</w:t>
            </w:r>
          </w:p>
        </w:tc>
        <w:tc>
          <w:tcPr>
            <w:tcW w:type="dxa" w:w="1984"/>
            <w:shd w:val="clear" w:color="auto" w:fill="FFFFFF"/>
          </w:tcPr>
          <w:p>
            <w:r>
              <w:rPr>
                <w:rFonts w:ascii="Calibri" w:hAnsi="Calibri"/>
                <w:b w:val="0"/>
                <w:color w:val="1A1A1A"/>
                <w:sz w:val="17"/>
              </w:rPr>
              <w:t>Slight rise</w:t>
            </w:r>
          </w:p>
        </w:tc>
        <w:tc>
          <w:tcPr>
            <w:tcW w:type="dxa" w:w="3118"/>
            <w:shd w:val="clear" w:color="auto" w:fill="FFFFFF"/>
          </w:tcPr>
          <w:p>
            <w:r>
              <w:rPr>
                <w:rFonts w:ascii="Calibri" w:hAnsi="Calibri"/>
                <w:b w:val="0"/>
                <w:color w:val="1A1A1A"/>
                <w:sz w:val="17"/>
              </w:rPr>
              <w:t>Elevated in captive bulls; varies in wild</w:t>
            </w:r>
          </w:p>
        </w:tc>
      </w:tr>
      <w:tr>
        <w:tc>
          <w:tcPr>
            <w:tcW w:type="dxa" w:w="2268"/>
            <w:shd w:val="clear" w:color="auto" w:fill="EAF7EE"/>
          </w:tcPr>
          <w:p>
            <w:r>
              <w:rPr>
                <w:rFonts w:ascii="Calibri" w:hAnsi="Calibri"/>
                <w:b w:val="0"/>
                <w:color w:val="1A1A1A"/>
                <w:sz w:val="17"/>
              </w:rPr>
              <w:t>Thyroid hormones</w:t>
            </w:r>
          </w:p>
        </w:tc>
        <w:tc>
          <w:tcPr>
            <w:tcW w:type="dxa" w:w="1984"/>
            <w:shd w:val="clear" w:color="auto" w:fill="EAF7EE"/>
          </w:tcPr>
          <w:p>
            <w:r>
              <w:rPr>
                <w:rFonts w:ascii="Calibri" w:hAnsi="Calibri"/>
                <w:b w:val="0"/>
                <w:color w:val="1A1A1A"/>
                <w:sz w:val="17"/>
              </w:rPr>
              <w:t>Normal</w:t>
            </w:r>
          </w:p>
        </w:tc>
        <w:tc>
          <w:tcPr>
            <w:tcW w:type="dxa" w:w="1984"/>
            <w:shd w:val="clear" w:color="auto" w:fill="EAF7EE"/>
          </w:tcPr>
          <w:p>
            <w:r>
              <w:rPr>
                <w:rFonts w:ascii="Calibri" w:hAnsi="Calibri"/>
                <w:b w:val="0"/>
                <w:color w:val="1A1A1A"/>
                <w:sz w:val="17"/>
              </w:rPr>
              <w:t>Normal</w:t>
            </w:r>
          </w:p>
        </w:tc>
        <w:tc>
          <w:tcPr>
            <w:tcW w:type="dxa" w:w="3118"/>
            <w:shd w:val="clear" w:color="auto" w:fill="EAF7EE"/>
          </w:tcPr>
          <w:p>
            <w:r>
              <w:rPr>
                <w:rFonts w:ascii="Calibri" w:hAnsi="Calibri"/>
                <w:b w:val="0"/>
                <w:color w:val="1A1A1A"/>
                <w:sz w:val="17"/>
              </w:rPr>
              <w:t>Decreased during musth</w:t>
            </w:r>
          </w:p>
        </w:tc>
      </w:tr>
    </w:tbl>
    <w:p>
      <w:pPr>
        <w:spacing w:after="40"/>
      </w:pPr>
    </w:p>
    <w:p>
      <w:pPr>
        <w:spacing w:after="40"/>
        <w:ind w:left="283" w:hanging="170"/>
      </w:pPr>
      <w:r>
        <w:rPr>
          <w:rFonts w:ascii="Calibri" w:hAnsi="Calibri"/>
          <w:color w:val="1A1A1A"/>
          <w:sz w:val="19"/>
        </w:rPr>
        <w:t>•  LH rises 4 weeks prior to musth onset — LH receptor up-regulation primes testes for maximal testosterone production</w:t>
      </w:r>
    </w:p>
    <w:p>
      <w:pPr>
        <w:spacing w:after="40"/>
        <w:ind w:left="283" w:hanging="170"/>
      </w:pPr>
      <w:r>
        <w:rPr>
          <w:rFonts w:ascii="Calibri" w:hAnsi="Calibri"/>
          <w:color w:val="1A1A1A"/>
          <w:sz w:val="19"/>
        </w:rPr>
        <w:t>•  GnRH antagonist treatment can reduce testosterone from 29.8 ng/mL to 2.2 ng/mL within 24 hours — used in captive bull management</w:t>
      </w:r>
    </w:p>
    <w:p>
      <w:pPr>
        <w:spacing w:after="40"/>
        <w:ind w:left="283" w:hanging="170"/>
      </w:pPr>
      <w:r>
        <w:rPr>
          <w:rFonts w:ascii="Calibri" w:hAnsi="Calibri"/>
          <w:color w:val="1A1A1A"/>
          <w:sz w:val="19"/>
        </w:rPr>
        <w:t>•  Musth duration: days to 4 months depending on age; bulls &gt;30 years show longest musth episodes</w:t>
      </w:r>
    </w:p>
    <w:p>
      <w:pPr>
        <w:spacing w:after="40"/>
        <w:ind w:left="283" w:hanging="170"/>
      </w:pPr>
      <w:r>
        <w:rPr>
          <w:rFonts w:ascii="Calibri" w:hAnsi="Calibri"/>
          <w:color w:val="1A1A1A"/>
          <w:sz w:val="19"/>
        </w:rPr>
        <w:t>•  Wild bulls: musth does NOT necessarily represent physiological stress (HPA axis activation varies from captive bulls)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CAPTIVE MANAGEMENT: Musth bulls can be detected early by rising temporal secretion + urine dribbling even before full aggression. LH monitoring (4 weeks pre-musth) enables preparation. GnRH antagonist treatment is available but requires veterinary approval and monitoring.</w:t>
            </w:r>
          </w:p>
        </w:tc>
      </w:tr>
    </w:tbl>
    <w:p>
      <w:pPr>
        <w:spacing w:after="40"/>
      </w:pPr>
    </w:p>
    <w:p>
      <w:pPr>
        <w:pStyle w:val="Heading2"/>
        <w:spacing w:before="80" w:after="40"/>
      </w:pPr>
      <w:r>
        <w:t>13.3  EEHV — Elephant Endotheliotropic Herpesvirus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13.3  EEHV — Elephant Endotheliotropic Herpesvirus</w:t>
            </w:r>
          </w:p>
        </w:tc>
      </w:tr>
    </w:tbl>
    <w:p>
      <w:pPr>
        <w:spacing w:after="40"/>
      </w:pPr>
    </w:p>
    <w:p>
      <w:pPr>
        <w:spacing w:after="80"/>
        <w:jc w:val="left"/>
      </w:pPr>
      <w:r>
        <w:rPr>
          <w:rFonts w:ascii="Calibri" w:hAnsi="Calibri"/>
          <w:b w:val="0"/>
          <w:i w:val="0"/>
          <w:color w:val="1A1A1A"/>
          <w:sz w:val="19"/>
        </w:rPr>
        <w:t>EEHV Haemorrhagic Disease is the LEADING INFECTIOUS CAUSE OF DEATH in captive Asian elephant calves worldwide. It causes peracute haemorrhagic disease in calves aged 1–8 years, with death occurring within 12–72 hours of clinical signs appearing:</w:t>
      </w: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EEHV Subtype</w:t>
            </w:r>
          </w:p>
        </w:tc>
        <w:tc>
          <w:tcPr>
            <w:tcW w:type="dxa" w:w="2268"/>
            <w:shd w:val="clear" w:color="auto" w:fill="2D6A4F"/>
          </w:tcPr>
          <w:p>
            <w:pPr>
              <w:jc w:val="center"/>
            </w:pPr>
            <w:r>
              <w:rPr>
                <w:rFonts w:ascii="Calibri" w:hAnsi="Calibri"/>
                <w:b/>
                <w:color w:val="FFFFFF"/>
                <w:sz w:val="17"/>
              </w:rPr>
              <w:t>Prevalence (Thailand)</w:t>
            </w:r>
          </w:p>
        </w:tc>
        <w:tc>
          <w:tcPr>
            <w:tcW w:type="dxa" w:w="2268"/>
            <w:shd w:val="clear" w:color="auto" w:fill="2D6A4F"/>
          </w:tcPr>
          <w:p>
            <w:pPr>
              <w:jc w:val="center"/>
            </w:pPr>
            <w:r>
              <w:rPr>
                <w:rFonts w:ascii="Calibri" w:hAnsi="Calibri"/>
                <w:b/>
                <w:color w:val="FFFFFF"/>
                <w:sz w:val="17"/>
              </w:rPr>
              <w:t>Case Fatality Rate</w:t>
            </w:r>
          </w:p>
        </w:tc>
        <w:tc>
          <w:tcPr>
            <w:tcW w:type="dxa" w:w="3118"/>
            <w:shd w:val="clear" w:color="auto" w:fill="2D6A4F"/>
          </w:tcPr>
          <w:p>
            <w:pPr>
              <w:jc w:val="center"/>
            </w:pPr>
            <w:r>
              <w:rPr>
                <w:rFonts w:ascii="Calibri" w:hAnsi="Calibri"/>
                <w:b/>
                <w:color w:val="FFFFFF"/>
                <w:sz w:val="17"/>
              </w:rPr>
              <w:t>Notes</w:t>
            </w:r>
          </w:p>
        </w:tc>
      </w:tr>
      <w:tr>
        <w:tc>
          <w:tcPr>
            <w:tcW w:type="dxa" w:w="2268"/>
            <w:shd w:val="clear" w:color="auto" w:fill="FFFFFF"/>
          </w:tcPr>
          <w:p>
            <w:r>
              <w:rPr>
                <w:rFonts w:ascii="Calibri" w:hAnsi="Calibri"/>
                <w:b w:val="0"/>
                <w:color w:val="1A1A1A"/>
                <w:sz w:val="17"/>
              </w:rPr>
              <w:t>EEHV1A</w:t>
            </w:r>
          </w:p>
        </w:tc>
        <w:tc>
          <w:tcPr>
            <w:tcW w:type="dxa" w:w="2268"/>
            <w:shd w:val="clear" w:color="auto" w:fill="FFFFFF"/>
          </w:tcPr>
          <w:p>
            <w:r>
              <w:rPr>
                <w:rFonts w:ascii="Calibri" w:hAnsi="Calibri"/>
                <w:b w:val="0"/>
                <w:color w:val="1A1A1A"/>
                <w:sz w:val="17"/>
              </w:rPr>
              <w:t>58%</w:t>
            </w:r>
          </w:p>
        </w:tc>
        <w:tc>
          <w:tcPr>
            <w:tcW w:type="dxa" w:w="2268"/>
            <w:shd w:val="clear" w:color="auto" w:fill="FFFFFF"/>
          </w:tcPr>
          <w:p>
            <w:r>
              <w:rPr>
                <w:rFonts w:ascii="Calibri" w:hAnsi="Calibri"/>
                <w:b w:val="0"/>
                <w:color w:val="1A1A1A"/>
                <w:sz w:val="17"/>
              </w:rPr>
              <w:t>75%</w:t>
            </w:r>
          </w:p>
        </w:tc>
        <w:tc>
          <w:tcPr>
            <w:tcW w:type="dxa" w:w="3118"/>
            <w:shd w:val="clear" w:color="auto" w:fill="FFFFFF"/>
          </w:tcPr>
          <w:p>
            <w:r>
              <w:rPr>
                <w:rFonts w:ascii="Calibri" w:hAnsi="Calibri"/>
                <w:b w:val="0"/>
                <w:color w:val="1A1A1A"/>
                <w:sz w:val="17"/>
              </w:rPr>
              <w:t>Most common subtype</w:t>
            </w:r>
          </w:p>
        </w:tc>
      </w:tr>
      <w:tr>
        <w:tc>
          <w:tcPr>
            <w:tcW w:type="dxa" w:w="2268"/>
            <w:shd w:val="clear" w:color="auto" w:fill="EAF7EE"/>
          </w:tcPr>
          <w:p>
            <w:r>
              <w:rPr>
                <w:rFonts w:ascii="Calibri" w:hAnsi="Calibri"/>
                <w:b w:val="0"/>
                <w:color w:val="1A1A1A"/>
                <w:sz w:val="17"/>
              </w:rPr>
              <w:t>EEHV4</w:t>
            </w:r>
          </w:p>
        </w:tc>
        <w:tc>
          <w:tcPr>
            <w:tcW w:type="dxa" w:w="2268"/>
            <w:shd w:val="clear" w:color="auto" w:fill="EAF7EE"/>
          </w:tcPr>
          <w:p>
            <w:r>
              <w:rPr>
                <w:rFonts w:ascii="Calibri" w:hAnsi="Calibri"/>
                <w:b w:val="0"/>
                <w:color w:val="1A1A1A"/>
                <w:sz w:val="17"/>
              </w:rPr>
              <w:t>34%</w:t>
            </w:r>
          </w:p>
        </w:tc>
        <w:tc>
          <w:tcPr>
            <w:tcW w:type="dxa" w:w="2268"/>
            <w:shd w:val="clear" w:color="auto" w:fill="EAF7EE"/>
          </w:tcPr>
          <w:p>
            <w:r>
              <w:rPr>
                <w:rFonts w:ascii="Calibri" w:hAnsi="Calibri"/>
                <w:b w:val="0"/>
                <w:color w:val="1A1A1A"/>
                <w:sz w:val="17"/>
              </w:rPr>
              <w:t>40%</w:t>
            </w:r>
          </w:p>
        </w:tc>
        <w:tc>
          <w:tcPr>
            <w:tcW w:type="dxa" w:w="3118"/>
            <w:shd w:val="clear" w:color="auto" w:fill="EAF7EE"/>
          </w:tcPr>
          <w:p>
            <w:r>
              <w:rPr>
                <w:rFonts w:ascii="Calibri" w:hAnsi="Calibri"/>
                <w:b w:val="0"/>
                <w:color w:val="1A1A1A"/>
                <w:sz w:val="17"/>
              </w:rPr>
              <w:t>Lowest mortality</w:t>
            </w:r>
          </w:p>
        </w:tc>
      </w:tr>
      <w:tr>
        <w:tc>
          <w:tcPr>
            <w:tcW w:type="dxa" w:w="2268"/>
            <w:shd w:val="clear" w:color="auto" w:fill="FFFFFF"/>
          </w:tcPr>
          <w:p>
            <w:r>
              <w:rPr>
                <w:rFonts w:ascii="Calibri" w:hAnsi="Calibri"/>
                <w:b w:val="0"/>
                <w:color w:val="1A1A1A"/>
                <w:sz w:val="17"/>
              </w:rPr>
              <w:t>EEHV1B</w:t>
            </w:r>
          </w:p>
        </w:tc>
        <w:tc>
          <w:tcPr>
            <w:tcW w:type="dxa" w:w="2268"/>
            <w:shd w:val="clear" w:color="auto" w:fill="FFFFFF"/>
          </w:tcPr>
          <w:p>
            <w:r>
              <w:rPr>
                <w:rFonts w:ascii="Calibri" w:hAnsi="Calibri"/>
                <w:b w:val="0"/>
                <w:color w:val="1A1A1A"/>
                <w:sz w:val="17"/>
              </w:rPr>
              <w:t>5.8%</w:t>
            </w:r>
          </w:p>
        </w:tc>
        <w:tc>
          <w:tcPr>
            <w:tcW w:type="dxa" w:w="2268"/>
            <w:shd w:val="clear" w:color="auto" w:fill="FFFFFF"/>
          </w:tcPr>
          <w:p>
            <w:r>
              <w:rPr>
                <w:rFonts w:ascii="Calibri" w:hAnsi="Calibri"/>
                <w:b w:val="0"/>
                <w:color w:val="1A1A1A"/>
                <w:sz w:val="17"/>
              </w:rPr>
              <w:t>83%</w:t>
            </w:r>
          </w:p>
        </w:tc>
        <w:tc>
          <w:tcPr>
            <w:tcW w:type="dxa" w:w="3118"/>
            <w:shd w:val="clear" w:color="auto" w:fill="FFFFFF"/>
          </w:tcPr>
          <w:p>
            <w:r>
              <w:rPr>
                <w:rFonts w:ascii="Calibri" w:hAnsi="Calibri"/>
                <w:b w:val="0"/>
                <w:color w:val="1A1A1A"/>
                <w:sz w:val="17"/>
              </w:rPr>
              <w:t>High mortality</w:t>
            </w:r>
          </w:p>
        </w:tc>
      </w:tr>
      <w:tr>
        <w:tc>
          <w:tcPr>
            <w:tcW w:type="dxa" w:w="2268"/>
            <w:shd w:val="clear" w:color="auto" w:fill="EAF7EE"/>
          </w:tcPr>
          <w:p>
            <w:r>
              <w:rPr>
                <w:rFonts w:ascii="Calibri" w:hAnsi="Calibri"/>
                <w:b w:val="0"/>
                <w:color w:val="1A1A1A"/>
                <w:sz w:val="17"/>
              </w:rPr>
              <w:t>EEHV1A + 1B co-infection</w:t>
            </w:r>
          </w:p>
        </w:tc>
        <w:tc>
          <w:tcPr>
            <w:tcW w:type="dxa" w:w="2268"/>
            <w:shd w:val="clear" w:color="auto" w:fill="EAF7EE"/>
          </w:tcPr>
          <w:p>
            <w:r>
              <w:rPr>
                <w:rFonts w:ascii="Calibri" w:hAnsi="Calibri"/>
                <w:b w:val="0"/>
                <w:color w:val="1A1A1A"/>
                <w:sz w:val="17"/>
              </w:rPr>
              <w:t>1.9%</w:t>
            </w:r>
          </w:p>
        </w:tc>
        <w:tc>
          <w:tcPr>
            <w:tcW w:type="dxa" w:w="2268"/>
            <w:shd w:val="clear" w:color="auto" w:fill="EAF7EE"/>
          </w:tcPr>
          <w:p>
            <w:r>
              <w:rPr>
                <w:rFonts w:ascii="Calibri" w:hAnsi="Calibri"/>
                <w:b w:val="0"/>
                <w:color w:val="1A1A1A"/>
                <w:sz w:val="17"/>
              </w:rPr>
              <w:t>100%</w:t>
            </w:r>
          </w:p>
        </w:tc>
        <w:tc>
          <w:tcPr>
            <w:tcW w:type="dxa" w:w="3118"/>
            <w:shd w:val="clear" w:color="auto" w:fill="EAF7EE"/>
          </w:tcPr>
          <w:p>
            <w:r>
              <w:rPr>
                <w:rFonts w:ascii="Calibri" w:hAnsi="Calibri"/>
                <w:b w:val="0"/>
                <w:color w:val="1A1A1A"/>
                <w:sz w:val="17"/>
              </w:rPr>
              <w:t>Always fatal</w:t>
            </w:r>
          </w:p>
        </w:tc>
      </w:tr>
    </w:tbl>
    <w:p>
      <w:pPr>
        <w:spacing w:after="40"/>
      </w:pPr>
    </w:p>
    <w:p>
      <w:pPr>
        <w:spacing w:after="40"/>
        <w:ind w:left="283" w:hanging="170"/>
      </w:pPr>
      <w:r>
        <w:rPr>
          <w:rFonts w:ascii="Calibri" w:hAnsi="Calibri"/>
          <w:color w:val="1A1A1A"/>
          <w:sz w:val="19"/>
        </w:rPr>
        <w:t>•  Highest risk age: 2–4 years old calves (can affect 0–8 year range)</w:t>
      </w:r>
    </w:p>
    <w:p>
      <w:pPr>
        <w:spacing w:after="40"/>
        <w:ind w:left="283" w:hanging="170"/>
      </w:pPr>
      <w:r>
        <w:rPr>
          <w:rFonts w:ascii="Calibri" w:hAnsi="Calibri"/>
          <w:color w:val="1A1A1A"/>
          <w:sz w:val="19"/>
        </w:rPr>
        <w:t>•  Median time from clinical signs to death: 36 hours</w:t>
      </w:r>
    </w:p>
    <w:p>
      <w:pPr>
        <w:spacing w:after="40"/>
        <w:ind w:left="283" w:hanging="170"/>
      </w:pPr>
      <w:r>
        <w:rPr>
          <w:rFonts w:ascii="Calibri" w:hAnsi="Calibri"/>
          <w:color w:val="1A1A1A"/>
          <w:sz w:val="19"/>
        </w:rPr>
        <w:t>•  CLINICAL SIGNS: lethargy, anorexia, facial oedema, oral ulcers, cyanotic (blue) tongue, oedema of head/neck/trunk, tachycardia</w:t>
      </w:r>
    </w:p>
    <w:p>
      <w:pPr>
        <w:spacing w:after="40"/>
        <w:ind w:left="283" w:hanging="170"/>
      </w:pPr>
      <w:r>
        <w:rPr>
          <w:rFonts w:ascii="Calibri" w:hAnsi="Calibri"/>
          <w:color w:val="1A1A1A"/>
          <w:sz w:val="19"/>
        </w:rPr>
        <w:t>•  Untreated case fatality rate: ≥80%; early antiviral treatment (famciclovir + supportive care) can improve outcomes</w:t>
      </w:r>
    </w:p>
    <w:p>
      <w:pPr>
        <w:spacing w:after="40"/>
        <w:ind w:left="283" w:hanging="170"/>
      </w:pPr>
      <w:r>
        <w:rPr>
          <w:rFonts w:ascii="Calibri" w:hAnsi="Calibri"/>
          <w:color w:val="1A1A1A"/>
          <w:sz w:val="19"/>
        </w:rPr>
        <w:t>•  Historical impact: ~20% of all captive juvenile Asian elephant deaths (Western hemisphere, 1962–2007)</w:t>
      </w:r>
    </w:p>
    <w:tbl>
      <w:tblPr>
        <w:tblStyle w:val="TableGrid"/>
        <w:tblW w:type="auto" w:w="0"/>
        <w:tblLook w:firstColumn="1" w:firstRow="1" w:lastColumn="0" w:lastRow="0" w:noHBand="0" w:noVBand="1" w:val="04A0"/>
      </w:tblPr>
      <w:tblGrid>
        <w:gridCol w:w="9638"/>
      </w:tblGrid>
      <w:tr>
        <w:tc>
          <w:tcPr>
            <w:tcW w:type="dxa" w:w="9638"/>
            <w:shd w:val="clear" w:color="auto" w:fill="FAE0D8"/>
          </w:tcPr>
          <w:p>
            <w:pPr>
              <w:spacing w:before="100" w:after="100"/>
            </w:pPr>
            <w:r>
              <w:rPr>
                <w:rFonts w:ascii="Calibri" w:hAnsi="Calibri"/>
                <w:b/>
                <w:color w:val="8B0000"/>
                <w:sz w:val="18"/>
              </w:rPr>
              <w:t>EEHV EMERGENCY: Calf showing lethargy + facial swelling + blue tongue tip = presumptive EEHV-HD. Time-critical — start antiviral + IV fluids immediately. Collect blood (PCR + CBC) before treatment. Contact WII/IVRI for diagnostic support.</w:t>
            </w:r>
          </w:p>
        </w:tc>
      </w:tr>
    </w:tbl>
    <w:p>
      <w:pPr>
        <w:spacing w:after="40"/>
      </w:pPr>
    </w:p>
    <w:p/>
    <w:p>
      <w:pPr>
        <w:spacing w:before="0" w:after="0"/>
      </w:pPr>
      <w:r>
        <w:br w:type="page"/>
      </w:r>
    </w:p>
    <w:p>
      <w:pPr>
        <w:pStyle w:val="Heading1"/>
        <w:spacing w:before="160" w:after="40"/>
      </w:pPr>
      <w:r>
        <w:t>14.  Human-Elephant Conflict &amp; Conservation Law in India</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14.  Human-Elephant Conflict &amp; Conservation Law in India</w:t>
            </w:r>
          </w:p>
        </w:tc>
      </w:tr>
    </w:tbl>
    <w:p>
      <w:pPr>
        <w:spacing w:after="40"/>
      </w:pPr>
    </w:p>
    <w:p>
      <w:pPr>
        <w:spacing w:before="80" w:after="40"/>
        <w:jc w:val="center"/>
      </w:pPr>
      <w:r>
        <w:drawing>
          <wp:inline xmlns:a="http://schemas.openxmlformats.org/drawingml/2006/main" xmlns:pic="http://schemas.openxmlformats.org/drawingml/2006/picture">
            <wp:extent cx="4680000" cy="2925000"/>
            <wp:docPr id="23" name="Picture 23"/>
            <wp:cNvGraphicFramePr>
              <a:graphicFrameLocks noChangeAspect="1"/>
            </wp:cNvGraphicFramePr>
            <a:graphic>
              <a:graphicData uri="http://schemas.openxmlformats.org/drawingml/2006/picture">
                <pic:pic>
                  <pic:nvPicPr>
                    <pic:cNvPr id="0" name="slide_20.png"/>
                    <pic:cNvPicPr/>
                  </pic:nvPicPr>
                  <pic:blipFill>
                    <a:blip r:embed="rId25"/>
                    <a:stretch>
                      <a:fillRect/>
                    </a:stretch>
                  </pic:blipFill>
                  <pic:spPr>
                    <a:xfrm>
                      <a:off x="0" y="0"/>
                      <a:ext cx="4680000" cy="2925000"/>
                    </a:xfrm>
                    <a:prstGeom prst="rect"/>
                  </pic:spPr>
                </pic:pic>
              </a:graphicData>
            </a:graphic>
          </wp:inline>
        </w:drawing>
      </w:r>
    </w:p>
    <w:p>
      <w:pPr>
        <w:spacing w:after="120"/>
        <w:jc w:val="center"/>
      </w:pPr>
      <w:r>
        <w:rPr>
          <w:rFonts w:ascii="Calibri" w:hAnsi="Calibri"/>
          <w:i/>
          <w:color w:val="555555"/>
          <w:sz w:val="16"/>
        </w:rPr>
        <w:t>Slide 20 — Conservation context: HEC and elephant mortality</w:t>
      </w:r>
    </w:p>
    <w:p>
      <w:pPr>
        <w:pStyle w:val="Heading2"/>
        <w:spacing w:before="80" w:after="40"/>
      </w:pPr>
      <w:r>
        <w:t>14.1  National Mortality Statistics (India, 2019–2024)</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14.1  National Mortality Statistics (India, 2019–2024)</w:t>
            </w:r>
          </w:p>
        </w:tc>
      </w:tr>
    </w:tbl>
    <w:p>
      <w:pPr>
        <w:spacing w:after="40"/>
      </w:pPr>
    </w:p>
    <w:p>
      <w:pPr>
        <w:spacing w:after="80"/>
        <w:jc w:val="left"/>
      </w:pPr>
      <w:r>
        <w:rPr>
          <w:rFonts w:ascii="Calibri" w:hAnsi="Calibri"/>
          <w:b w:val="0"/>
          <w:i w:val="0"/>
          <w:color w:val="1A1A1A"/>
          <w:sz w:val="19"/>
        </w:rPr>
        <w:t>India is home to ~60% of the world's Asian elephant population (~29,000–30,000 wild elephants). Human-elephant conflict (HEC) is a critical conservation and public safety challenge. India officially recorded 528 elephant deaths due to unnatural causes in the 5-year period 2019–2024:</w:t>
      </w:r>
    </w:p>
    <w:tbl>
      <w:tblPr>
        <w:tblStyle w:val="TableGrid"/>
        <w:tblW w:type="auto" w:w="0"/>
        <w:tblLook w:firstColumn="1" w:firstRow="1" w:lastColumn="0" w:lastRow="0" w:noHBand="0" w:noVBand="1" w:val="04A0"/>
      </w:tblPr>
      <w:tblGrid>
        <w:gridCol w:w="2409"/>
        <w:gridCol w:w="2409"/>
        <w:gridCol w:w="2409"/>
        <w:gridCol w:w="2409"/>
      </w:tblGrid>
      <w:tr>
        <w:tc>
          <w:tcPr>
            <w:tcW w:type="dxa" w:w="2268"/>
            <w:shd w:val="clear" w:color="auto" w:fill="2D6A4F"/>
          </w:tcPr>
          <w:p>
            <w:pPr>
              <w:jc w:val="center"/>
            </w:pPr>
            <w:r>
              <w:rPr>
                <w:rFonts w:ascii="Calibri" w:hAnsi="Calibri"/>
                <w:b/>
                <w:color w:val="FFFFFF"/>
                <w:sz w:val="17"/>
              </w:rPr>
              <w:t>Cause</w:t>
            </w:r>
          </w:p>
        </w:tc>
        <w:tc>
          <w:tcPr>
            <w:tcW w:type="dxa" w:w="1984"/>
            <w:shd w:val="clear" w:color="auto" w:fill="2D6A4F"/>
          </w:tcPr>
          <w:p>
            <w:pPr>
              <w:jc w:val="center"/>
            </w:pPr>
            <w:r>
              <w:rPr>
                <w:rFonts w:ascii="Calibri" w:hAnsi="Calibri"/>
                <w:b/>
                <w:color w:val="FFFFFF"/>
                <w:sz w:val="17"/>
              </w:rPr>
              <w:t>Deaths (2019–2024)</w:t>
            </w:r>
          </w:p>
        </w:tc>
        <w:tc>
          <w:tcPr>
            <w:tcW w:type="dxa" w:w="1701"/>
            <w:shd w:val="clear" w:color="auto" w:fill="2D6A4F"/>
          </w:tcPr>
          <w:p>
            <w:pPr>
              <w:jc w:val="center"/>
            </w:pPr>
            <w:r>
              <w:rPr>
                <w:rFonts w:ascii="Calibri" w:hAnsi="Calibri"/>
                <w:b/>
                <w:color w:val="FFFFFF"/>
                <w:sz w:val="17"/>
              </w:rPr>
              <w:t>Percentage</w:t>
            </w:r>
          </w:p>
        </w:tc>
        <w:tc>
          <w:tcPr>
            <w:tcW w:type="dxa" w:w="3402"/>
            <w:shd w:val="clear" w:color="auto" w:fill="2D6A4F"/>
          </w:tcPr>
          <w:p>
            <w:pPr>
              <w:jc w:val="center"/>
            </w:pPr>
            <w:r>
              <w:rPr>
                <w:rFonts w:ascii="Calibri" w:hAnsi="Calibri"/>
                <w:b/>
                <w:color w:val="FFFFFF"/>
                <w:sz w:val="17"/>
              </w:rPr>
              <w:t>Key Context</w:t>
            </w:r>
          </w:p>
        </w:tc>
      </w:tr>
      <w:tr>
        <w:tc>
          <w:tcPr>
            <w:tcW w:type="dxa" w:w="2268"/>
            <w:shd w:val="clear" w:color="auto" w:fill="FFFFFF"/>
          </w:tcPr>
          <w:p>
            <w:r>
              <w:rPr>
                <w:rFonts w:ascii="Calibri" w:hAnsi="Calibri"/>
                <w:b w:val="0"/>
                <w:color w:val="1A1A1A"/>
                <w:sz w:val="17"/>
              </w:rPr>
              <w:t>Electrocution</w:t>
            </w:r>
          </w:p>
        </w:tc>
        <w:tc>
          <w:tcPr>
            <w:tcW w:type="dxa" w:w="1984"/>
            <w:shd w:val="clear" w:color="auto" w:fill="FFFFFF"/>
          </w:tcPr>
          <w:p>
            <w:r>
              <w:rPr>
                <w:rFonts w:ascii="Calibri" w:hAnsi="Calibri"/>
                <w:b w:val="0"/>
                <w:color w:val="1A1A1A"/>
                <w:sz w:val="17"/>
              </w:rPr>
              <w:t>392</w:t>
            </w:r>
          </w:p>
        </w:tc>
        <w:tc>
          <w:tcPr>
            <w:tcW w:type="dxa" w:w="1701"/>
            <w:shd w:val="clear" w:color="auto" w:fill="FFFFFF"/>
          </w:tcPr>
          <w:p>
            <w:r>
              <w:rPr>
                <w:rFonts w:ascii="Calibri" w:hAnsi="Calibri"/>
                <w:b w:val="0"/>
                <w:color w:val="1A1A1A"/>
                <w:sz w:val="17"/>
              </w:rPr>
              <w:t>74%</w:t>
            </w:r>
          </w:p>
        </w:tc>
        <w:tc>
          <w:tcPr>
            <w:tcW w:type="dxa" w:w="3402"/>
            <w:shd w:val="clear" w:color="auto" w:fill="FFFFFF"/>
          </w:tcPr>
          <w:p>
            <w:r>
              <w:rPr>
                <w:rFonts w:ascii="Calibri" w:hAnsi="Calibri"/>
                <w:b w:val="0"/>
                <w:color w:val="1A1A1A"/>
                <w:sz w:val="17"/>
              </w:rPr>
              <w:t>Illegal electric fences for crop protection; peaks during Kharif season</w:t>
            </w:r>
          </w:p>
        </w:tc>
      </w:tr>
      <w:tr>
        <w:tc>
          <w:tcPr>
            <w:tcW w:type="dxa" w:w="2268"/>
            <w:shd w:val="clear" w:color="auto" w:fill="EAF7EE"/>
          </w:tcPr>
          <w:p>
            <w:r>
              <w:rPr>
                <w:rFonts w:ascii="Calibri" w:hAnsi="Calibri"/>
                <w:b w:val="0"/>
                <w:color w:val="1A1A1A"/>
                <w:sz w:val="17"/>
              </w:rPr>
              <w:t>Train collisions</w:t>
            </w:r>
          </w:p>
        </w:tc>
        <w:tc>
          <w:tcPr>
            <w:tcW w:type="dxa" w:w="1984"/>
            <w:shd w:val="clear" w:color="auto" w:fill="EAF7EE"/>
          </w:tcPr>
          <w:p>
            <w:r>
              <w:rPr>
                <w:rFonts w:ascii="Calibri" w:hAnsi="Calibri"/>
                <w:b w:val="0"/>
                <w:color w:val="1A1A1A"/>
                <w:sz w:val="17"/>
              </w:rPr>
              <w:t>73</w:t>
            </w:r>
          </w:p>
        </w:tc>
        <w:tc>
          <w:tcPr>
            <w:tcW w:type="dxa" w:w="1701"/>
            <w:shd w:val="clear" w:color="auto" w:fill="EAF7EE"/>
          </w:tcPr>
          <w:p>
            <w:r>
              <w:rPr>
                <w:rFonts w:ascii="Calibri" w:hAnsi="Calibri"/>
                <w:b w:val="0"/>
                <w:color w:val="1A1A1A"/>
                <w:sz w:val="17"/>
              </w:rPr>
              <w:t>13.8%</w:t>
            </w:r>
          </w:p>
        </w:tc>
        <w:tc>
          <w:tcPr>
            <w:tcW w:type="dxa" w:w="3402"/>
            <w:shd w:val="clear" w:color="auto" w:fill="EAF7EE"/>
          </w:tcPr>
          <w:p>
            <w:r>
              <w:rPr>
                <w:rFonts w:ascii="Calibri" w:hAnsi="Calibri"/>
                <w:b w:val="0"/>
                <w:color w:val="1A1A1A"/>
                <w:sz w:val="17"/>
              </w:rPr>
              <w:t>Railway lines through corridors; highest in Assam (82 deaths)</w:t>
            </w:r>
          </w:p>
        </w:tc>
      </w:tr>
      <w:tr>
        <w:tc>
          <w:tcPr>
            <w:tcW w:type="dxa" w:w="2268"/>
            <w:shd w:val="clear" w:color="auto" w:fill="FFFFFF"/>
          </w:tcPr>
          <w:p>
            <w:r>
              <w:rPr>
                <w:rFonts w:ascii="Calibri" w:hAnsi="Calibri"/>
                <w:b w:val="0"/>
                <w:color w:val="1A1A1A"/>
                <w:sz w:val="17"/>
              </w:rPr>
              <w:t>Poaching</w:t>
            </w:r>
          </w:p>
        </w:tc>
        <w:tc>
          <w:tcPr>
            <w:tcW w:type="dxa" w:w="1984"/>
            <w:shd w:val="clear" w:color="auto" w:fill="FFFFFF"/>
          </w:tcPr>
          <w:p>
            <w:r>
              <w:rPr>
                <w:rFonts w:ascii="Calibri" w:hAnsi="Calibri"/>
                <w:b w:val="0"/>
                <w:color w:val="1A1A1A"/>
                <w:sz w:val="17"/>
              </w:rPr>
              <w:t>50</w:t>
            </w:r>
          </w:p>
        </w:tc>
        <w:tc>
          <w:tcPr>
            <w:tcW w:type="dxa" w:w="1701"/>
            <w:shd w:val="clear" w:color="auto" w:fill="FFFFFF"/>
          </w:tcPr>
          <w:p>
            <w:r>
              <w:rPr>
                <w:rFonts w:ascii="Calibri" w:hAnsi="Calibri"/>
                <w:b w:val="0"/>
                <w:color w:val="1A1A1A"/>
                <w:sz w:val="17"/>
              </w:rPr>
              <w:t>9.5%</w:t>
            </w:r>
          </w:p>
        </w:tc>
        <w:tc>
          <w:tcPr>
            <w:tcW w:type="dxa" w:w="3402"/>
            <w:shd w:val="clear" w:color="auto" w:fill="FFFFFF"/>
          </w:tcPr>
          <w:p>
            <w:r>
              <w:rPr>
                <w:rFonts w:ascii="Calibri" w:hAnsi="Calibri"/>
                <w:b w:val="0"/>
                <w:color w:val="1A1A1A"/>
                <w:sz w:val="17"/>
              </w:rPr>
              <w:t>Ivory; also killing during HEC retaliation</w:t>
            </w:r>
          </w:p>
        </w:tc>
      </w:tr>
      <w:tr>
        <w:tc>
          <w:tcPr>
            <w:tcW w:type="dxa" w:w="2268"/>
            <w:shd w:val="clear" w:color="auto" w:fill="EAF7EE"/>
          </w:tcPr>
          <w:p>
            <w:r>
              <w:rPr>
                <w:rFonts w:ascii="Calibri" w:hAnsi="Calibri"/>
                <w:b w:val="0"/>
                <w:color w:val="1A1A1A"/>
                <w:sz w:val="17"/>
              </w:rPr>
              <w:t>Poisoning</w:t>
            </w:r>
          </w:p>
        </w:tc>
        <w:tc>
          <w:tcPr>
            <w:tcW w:type="dxa" w:w="1984"/>
            <w:shd w:val="clear" w:color="auto" w:fill="EAF7EE"/>
          </w:tcPr>
          <w:p>
            <w:r>
              <w:rPr>
                <w:rFonts w:ascii="Calibri" w:hAnsi="Calibri"/>
                <w:b w:val="0"/>
                <w:color w:val="1A1A1A"/>
                <w:sz w:val="17"/>
              </w:rPr>
              <w:t>13</w:t>
            </w:r>
          </w:p>
        </w:tc>
        <w:tc>
          <w:tcPr>
            <w:tcW w:type="dxa" w:w="1701"/>
            <w:shd w:val="clear" w:color="auto" w:fill="EAF7EE"/>
          </w:tcPr>
          <w:p>
            <w:r>
              <w:rPr>
                <w:rFonts w:ascii="Calibri" w:hAnsi="Calibri"/>
                <w:b w:val="0"/>
                <w:color w:val="1A1A1A"/>
                <w:sz w:val="17"/>
              </w:rPr>
              <w:t>2.5%</w:t>
            </w:r>
          </w:p>
        </w:tc>
        <w:tc>
          <w:tcPr>
            <w:tcW w:type="dxa" w:w="3402"/>
            <w:shd w:val="clear" w:color="auto" w:fill="EAF7EE"/>
          </w:tcPr>
          <w:p>
            <w:r>
              <w:rPr>
                <w:rFonts w:ascii="Calibri" w:hAnsi="Calibri"/>
                <w:b w:val="0"/>
                <w:color w:val="1A1A1A"/>
                <w:sz w:val="17"/>
              </w:rPr>
              <w:t>Retaliation by farmers; use of pesticide-laced food</w:t>
            </w:r>
          </w:p>
        </w:tc>
      </w:tr>
    </w:tbl>
    <w:p>
      <w:pPr>
        <w:spacing w:after="40"/>
      </w:pPr>
    </w:p>
    <w:p>
      <w:pPr>
        <w:spacing w:after="40"/>
        <w:ind w:left="283" w:hanging="170"/>
      </w:pPr>
      <w:r>
        <w:rPr>
          <w:rFonts w:ascii="Calibri" w:hAnsi="Calibri"/>
          <w:color w:val="1A1A1A"/>
          <w:sz w:val="19"/>
        </w:rPr>
        <w:t>•  2023–24 alone: 121 elephant deaths — 94 electrocution, 17 train, 9 poaching, 1 poisoning</w:t>
      </w:r>
    </w:p>
    <w:p>
      <w:pPr>
        <w:spacing w:after="40"/>
        <w:ind w:left="283" w:hanging="170"/>
      </w:pPr>
      <w:r>
        <w:rPr>
          <w:rFonts w:ascii="Calibri" w:hAnsi="Calibri"/>
          <w:color w:val="1A1A1A"/>
          <w:sz w:val="19"/>
        </w:rPr>
        <w:t>•  Chhattisgarh (2000–2023): 218 total elephant mortality incidents; electrocution is the dominant cause; seasonal peak in monsoon season</w:t>
      </w:r>
    </w:p>
    <w:p>
      <w:pPr>
        <w:pStyle w:val="Heading2"/>
        <w:spacing w:before="80" w:after="40"/>
      </w:pPr>
      <w:r>
        <w:t>14.2  Human Deaths from Elephant Encounters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14.2  Human Deaths from Elephant Encounters</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551"/>
            <w:shd w:val="clear" w:color="auto" w:fill="2D6A4F"/>
          </w:tcPr>
          <w:p>
            <w:pPr>
              <w:jc w:val="center"/>
            </w:pPr>
            <w:r>
              <w:rPr>
                <w:rFonts w:ascii="Calibri" w:hAnsi="Calibri"/>
                <w:b/>
                <w:color w:val="FFFFFF"/>
                <w:sz w:val="17"/>
              </w:rPr>
              <w:t>State</w:t>
            </w:r>
          </w:p>
        </w:tc>
        <w:tc>
          <w:tcPr>
            <w:tcW w:type="dxa" w:w="1984"/>
            <w:shd w:val="clear" w:color="auto" w:fill="2D6A4F"/>
          </w:tcPr>
          <w:p>
            <w:pPr>
              <w:jc w:val="center"/>
            </w:pPr>
            <w:r>
              <w:rPr>
                <w:rFonts w:ascii="Calibri" w:hAnsi="Calibri"/>
                <w:b/>
                <w:color w:val="FFFFFF"/>
                <w:sz w:val="17"/>
              </w:rPr>
              <w:t>Human Deaths (2019–2023)</w:t>
            </w:r>
          </w:p>
        </w:tc>
        <w:tc>
          <w:tcPr>
            <w:tcW w:type="dxa" w:w="2551"/>
            <w:shd w:val="clear" w:color="auto" w:fill="2D6A4F"/>
          </w:tcPr>
          <w:p>
            <w:pPr>
              <w:jc w:val="center"/>
            </w:pPr>
            <w:r>
              <w:rPr>
                <w:rFonts w:ascii="Calibri" w:hAnsi="Calibri"/>
                <w:b/>
                <w:color w:val="FFFFFF"/>
                <w:sz w:val="17"/>
              </w:rPr>
              <w:t>State</w:t>
            </w:r>
          </w:p>
        </w:tc>
        <w:tc>
          <w:tcPr>
            <w:tcW w:type="dxa" w:w="2268"/>
            <w:shd w:val="clear" w:color="auto" w:fill="2D6A4F"/>
          </w:tcPr>
          <w:p>
            <w:pPr>
              <w:jc w:val="center"/>
            </w:pPr>
            <w:r>
              <w:rPr>
                <w:rFonts w:ascii="Calibri" w:hAnsi="Calibri"/>
                <w:b/>
                <w:color w:val="FFFFFF"/>
                <w:sz w:val="17"/>
              </w:rPr>
              <w:t>Human Deaths (2019–2023)</w:t>
            </w:r>
          </w:p>
        </w:tc>
      </w:tr>
      <w:tr>
        <w:tc>
          <w:tcPr>
            <w:tcW w:type="dxa" w:w="2551"/>
            <w:shd w:val="clear" w:color="auto" w:fill="FFFFFF"/>
          </w:tcPr>
          <w:p>
            <w:r>
              <w:rPr>
                <w:rFonts w:ascii="Calibri" w:hAnsi="Calibri"/>
                <w:b w:val="0"/>
                <w:color w:val="1A1A1A"/>
                <w:sz w:val="17"/>
              </w:rPr>
              <w:t>Odisha</w:t>
            </w:r>
          </w:p>
        </w:tc>
        <w:tc>
          <w:tcPr>
            <w:tcW w:type="dxa" w:w="1984"/>
            <w:shd w:val="clear" w:color="auto" w:fill="FFFFFF"/>
          </w:tcPr>
          <w:p>
            <w:r>
              <w:rPr>
                <w:rFonts w:ascii="Calibri" w:hAnsi="Calibri"/>
                <w:b w:val="0"/>
                <w:color w:val="1A1A1A"/>
                <w:sz w:val="17"/>
              </w:rPr>
              <w:t>624</w:t>
            </w:r>
          </w:p>
        </w:tc>
        <w:tc>
          <w:tcPr>
            <w:tcW w:type="dxa" w:w="2551"/>
            <w:shd w:val="clear" w:color="auto" w:fill="FFFFFF"/>
          </w:tcPr>
          <w:p>
            <w:r>
              <w:rPr>
                <w:rFonts w:ascii="Calibri" w:hAnsi="Calibri"/>
                <w:b w:val="0"/>
                <w:color w:val="1A1A1A"/>
                <w:sz w:val="17"/>
              </w:rPr>
              <w:t>Tamil Nadu</w:t>
            </w:r>
          </w:p>
        </w:tc>
        <w:tc>
          <w:tcPr>
            <w:tcW w:type="dxa" w:w="2268"/>
            <w:shd w:val="clear" w:color="auto" w:fill="FFFFFF"/>
          </w:tcPr>
          <w:p>
            <w:r>
              <w:rPr>
                <w:rFonts w:ascii="Calibri" w:hAnsi="Calibri"/>
                <w:b w:val="0"/>
                <w:color w:val="1A1A1A"/>
                <w:sz w:val="17"/>
              </w:rPr>
              <w:t>256</w:t>
            </w:r>
          </w:p>
        </w:tc>
      </w:tr>
      <w:tr>
        <w:tc>
          <w:tcPr>
            <w:tcW w:type="dxa" w:w="2551"/>
            <w:shd w:val="clear" w:color="auto" w:fill="EAF7EE"/>
          </w:tcPr>
          <w:p>
            <w:r>
              <w:rPr>
                <w:rFonts w:ascii="Calibri" w:hAnsi="Calibri"/>
                <w:b w:val="0"/>
                <w:color w:val="1A1A1A"/>
                <w:sz w:val="17"/>
              </w:rPr>
              <w:t>Jharkhand</w:t>
            </w:r>
          </w:p>
        </w:tc>
        <w:tc>
          <w:tcPr>
            <w:tcW w:type="dxa" w:w="1984"/>
            <w:shd w:val="clear" w:color="auto" w:fill="EAF7EE"/>
          </w:tcPr>
          <w:p>
            <w:r>
              <w:rPr>
                <w:rFonts w:ascii="Calibri" w:hAnsi="Calibri"/>
                <w:b w:val="0"/>
                <w:color w:val="1A1A1A"/>
                <w:sz w:val="17"/>
              </w:rPr>
              <w:t>474</w:t>
            </w:r>
          </w:p>
        </w:tc>
        <w:tc>
          <w:tcPr>
            <w:tcW w:type="dxa" w:w="2551"/>
            <w:shd w:val="clear" w:color="auto" w:fill="EAF7EE"/>
          </w:tcPr>
          <w:p>
            <w:r>
              <w:rPr>
                <w:rFonts w:ascii="Calibri" w:hAnsi="Calibri"/>
                <w:b w:val="0"/>
                <w:color w:val="1A1A1A"/>
                <w:sz w:val="17"/>
              </w:rPr>
              <w:t>Karnataka</w:t>
            </w:r>
          </w:p>
        </w:tc>
        <w:tc>
          <w:tcPr>
            <w:tcW w:type="dxa" w:w="2268"/>
            <w:shd w:val="clear" w:color="auto" w:fill="EAF7EE"/>
          </w:tcPr>
          <w:p>
            <w:r>
              <w:rPr>
                <w:rFonts w:ascii="Calibri" w:hAnsi="Calibri"/>
                <w:b w:val="0"/>
                <w:color w:val="1A1A1A"/>
                <w:sz w:val="17"/>
              </w:rPr>
              <w:t>160</w:t>
            </w:r>
          </w:p>
        </w:tc>
      </w:tr>
      <w:tr>
        <w:tc>
          <w:tcPr>
            <w:tcW w:type="dxa" w:w="2551"/>
            <w:shd w:val="clear" w:color="auto" w:fill="FFFFFF"/>
          </w:tcPr>
          <w:p>
            <w:r>
              <w:rPr>
                <w:rFonts w:ascii="Calibri" w:hAnsi="Calibri"/>
                <w:b w:val="0"/>
                <w:color w:val="1A1A1A"/>
                <w:sz w:val="17"/>
              </w:rPr>
              <w:t>West Bengal</w:t>
            </w:r>
          </w:p>
        </w:tc>
        <w:tc>
          <w:tcPr>
            <w:tcW w:type="dxa" w:w="1984"/>
            <w:shd w:val="clear" w:color="auto" w:fill="FFFFFF"/>
          </w:tcPr>
          <w:p>
            <w:r>
              <w:rPr>
                <w:rFonts w:ascii="Calibri" w:hAnsi="Calibri"/>
                <w:b w:val="0"/>
                <w:color w:val="1A1A1A"/>
                <w:sz w:val="17"/>
              </w:rPr>
              <w:t>436</w:t>
            </w:r>
          </w:p>
        </w:tc>
        <w:tc>
          <w:tcPr>
            <w:tcW w:type="dxa" w:w="2551"/>
            <w:shd w:val="clear" w:color="auto" w:fill="FFFFFF"/>
          </w:tcPr>
          <w:p>
            <w:r>
              <w:rPr>
                <w:rFonts w:ascii="Calibri" w:hAnsi="Calibri"/>
                <w:b w:val="0"/>
                <w:color w:val="1A1A1A"/>
                <w:sz w:val="17"/>
              </w:rPr>
              <w:t>Kerala</w:t>
            </w:r>
          </w:p>
        </w:tc>
        <w:tc>
          <w:tcPr>
            <w:tcW w:type="dxa" w:w="2268"/>
            <w:shd w:val="clear" w:color="auto" w:fill="FFFFFF"/>
          </w:tcPr>
          <w:p>
            <w:r>
              <w:rPr>
                <w:rFonts w:ascii="Calibri" w:hAnsi="Calibri"/>
                <w:b w:val="0"/>
                <w:color w:val="1A1A1A"/>
                <w:sz w:val="17"/>
              </w:rPr>
              <w:t>124</w:t>
            </w:r>
          </w:p>
        </w:tc>
      </w:tr>
      <w:tr>
        <w:tc>
          <w:tcPr>
            <w:tcW w:type="dxa" w:w="2551"/>
            <w:shd w:val="clear" w:color="auto" w:fill="EAF7EE"/>
          </w:tcPr>
          <w:p>
            <w:r>
              <w:rPr>
                <w:rFonts w:ascii="Calibri" w:hAnsi="Calibri"/>
                <w:b w:val="0"/>
                <w:color w:val="1A1A1A"/>
                <w:sz w:val="17"/>
              </w:rPr>
              <w:t>Assam</w:t>
            </w:r>
          </w:p>
        </w:tc>
        <w:tc>
          <w:tcPr>
            <w:tcW w:type="dxa" w:w="1984"/>
            <w:shd w:val="clear" w:color="auto" w:fill="EAF7EE"/>
          </w:tcPr>
          <w:p>
            <w:r>
              <w:rPr>
                <w:rFonts w:ascii="Calibri" w:hAnsi="Calibri"/>
                <w:b w:val="0"/>
                <w:color w:val="1A1A1A"/>
                <w:sz w:val="17"/>
              </w:rPr>
              <w:t>383</w:t>
            </w:r>
          </w:p>
        </w:tc>
        <w:tc>
          <w:tcPr>
            <w:tcW w:type="dxa" w:w="2551"/>
            <w:shd w:val="clear" w:color="auto" w:fill="EAF7EE"/>
          </w:tcPr>
          <w:p>
            <w:r>
              <w:rPr>
                <w:rFonts w:ascii="Calibri" w:hAnsi="Calibri"/>
                <w:b w:val="0"/>
                <w:color w:val="1A1A1A"/>
                <w:sz w:val="17"/>
              </w:rPr>
              <w:t>Others</w:t>
            </w:r>
          </w:p>
        </w:tc>
        <w:tc>
          <w:tcPr>
            <w:tcW w:type="dxa" w:w="2268"/>
            <w:shd w:val="clear" w:color="auto" w:fill="EAF7EE"/>
          </w:tcPr>
          <w:p>
            <w:r>
              <w:rPr>
                <w:rFonts w:ascii="Calibri" w:hAnsi="Calibri"/>
                <w:b w:val="0"/>
                <w:color w:val="1A1A1A"/>
                <w:sz w:val="17"/>
              </w:rPr>
              <w:t>136</w:t>
            </w:r>
          </w:p>
        </w:tc>
      </w:tr>
      <w:tr>
        <w:tc>
          <w:tcPr>
            <w:tcW w:type="dxa" w:w="2551"/>
            <w:shd w:val="clear" w:color="auto" w:fill="FFFFFF"/>
          </w:tcPr>
          <w:p>
            <w:r>
              <w:rPr>
                <w:rFonts w:ascii="Calibri" w:hAnsi="Calibri"/>
                <w:b w:val="0"/>
                <w:color w:val="1A1A1A"/>
                <w:sz w:val="17"/>
              </w:rPr>
              <w:t>Chhattisgarh</w:t>
            </w:r>
          </w:p>
        </w:tc>
        <w:tc>
          <w:tcPr>
            <w:tcW w:type="dxa" w:w="1984"/>
            <w:shd w:val="clear" w:color="auto" w:fill="FFFFFF"/>
          </w:tcPr>
          <w:p>
            <w:r>
              <w:rPr>
                <w:rFonts w:ascii="Calibri" w:hAnsi="Calibri"/>
                <w:b w:val="0"/>
                <w:color w:val="1A1A1A"/>
                <w:sz w:val="17"/>
              </w:rPr>
              <w:t>303</w:t>
            </w:r>
          </w:p>
        </w:tc>
        <w:tc>
          <w:tcPr>
            <w:tcW w:type="dxa" w:w="2551"/>
            <w:shd w:val="clear" w:color="auto" w:fill="FFFFFF"/>
          </w:tcPr>
          <w:p>
            <w:r>
              <w:rPr>
                <w:rFonts w:ascii="Calibri" w:hAnsi="Calibri"/>
                <w:b w:val="0"/>
                <w:color w:val="1A1A1A"/>
                <w:sz w:val="17"/>
              </w:rPr>
              <w:t>TOTAL (5 years)</w:t>
            </w:r>
          </w:p>
        </w:tc>
        <w:tc>
          <w:tcPr>
            <w:tcW w:type="dxa" w:w="2268"/>
            <w:shd w:val="clear" w:color="auto" w:fill="FFFFFF"/>
          </w:tcPr>
          <w:p>
            <w:r>
              <w:rPr>
                <w:rFonts w:ascii="Calibri" w:hAnsi="Calibri"/>
                <w:b w:val="0"/>
                <w:color w:val="1A1A1A"/>
                <w:sz w:val="17"/>
              </w:rPr>
              <w:t>2,853</w:t>
            </w:r>
          </w:p>
        </w:tc>
      </w:tr>
    </w:tbl>
    <w:p>
      <w:pPr>
        <w:spacing w:after="40"/>
      </w:pPr>
    </w:p>
    <w:p>
      <w:pPr>
        <w:spacing w:after="40"/>
        <w:ind w:left="283" w:hanging="170"/>
      </w:pPr>
      <w:r>
        <w:rPr>
          <w:rFonts w:ascii="Calibri" w:hAnsi="Calibri"/>
          <w:color w:val="1A1A1A"/>
          <w:sz w:val="19"/>
        </w:rPr>
        <w:t>•  Total human deaths from elephants (2009–2024): 7,868 — approximately 500 deaths per year nationally</w:t>
      </w:r>
    </w:p>
    <w:p>
      <w:pPr>
        <w:spacing w:after="40"/>
        <w:ind w:left="283" w:hanging="170"/>
      </w:pPr>
      <w:r>
        <w:rPr>
          <w:rFonts w:ascii="Calibri" w:hAnsi="Calibri"/>
          <w:color w:val="1A1A1A"/>
          <w:sz w:val="19"/>
        </w:rPr>
        <w:t>•  Chhattisgarh (2000–2023): 737 human fatalities and 91 injuries in 23 years; 19 forest divisions affected</w:t>
      </w:r>
    </w:p>
    <w:p>
      <w:pPr>
        <w:spacing w:after="40"/>
        <w:ind w:left="283" w:hanging="170"/>
      </w:pPr>
      <w:r>
        <w:rPr>
          <w:rFonts w:ascii="Calibri" w:hAnsi="Calibri"/>
          <w:color w:val="1A1A1A"/>
          <w:sz w:val="19"/>
        </w:rPr>
        <w:t>•  HEC peaks during monsoon season when elephants move through agricultural areas for water and food</w:t>
      </w:r>
    </w:p>
    <w:p>
      <w:pPr>
        <w:spacing w:after="40"/>
        <w:ind w:left="283" w:hanging="170"/>
      </w:pPr>
      <w:r>
        <w:rPr>
          <w:rFonts w:ascii="Calibri" w:hAnsi="Calibri"/>
          <w:color w:val="1A1A1A"/>
          <w:sz w:val="19"/>
        </w:rPr>
        <w:t>•  Four states (Odisha, Jharkhand, West Bengal, Assam) account for ~70% of both human and elephant fatalities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FOR MORTALITY INVESTIGATION: Document whether the carcass is in an area with known HEC history. Electrocution victims show: singed hair/skin, entry/exit burns, ground scorching, nearby illegal fencing. Report all unnatural deaths to state PCCFs and WII Elephant Cell per MoEFCC protocol.</w:t>
            </w:r>
          </w:p>
        </w:tc>
      </w:tr>
    </w:tbl>
    <w:p>
      <w:pPr>
        <w:spacing w:after="40"/>
      </w:pPr>
    </w:p>
    <w:p>
      <w:pPr>
        <w:pStyle w:val="Heading2"/>
        <w:spacing w:before="80" w:after="40"/>
      </w:pPr>
      <w:r>
        <w:t>14.3  Legal Framework — Wildlife Protection Act 1972 &amp; Project Elephant</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14.3  Legal Framework — Wildlife Protection Act 1972 &amp; Project Elephant</w:t>
            </w:r>
          </w:p>
        </w:tc>
      </w:tr>
    </w:tbl>
    <w:p>
      <w:pPr>
        <w:spacing w:after="40"/>
      </w:pPr>
    </w:p>
    <w:tbl>
      <w:tblPr>
        <w:tblStyle w:val="TableGrid"/>
        <w:tblW w:type="auto" w:w="0"/>
        <w:tblLook w:firstColumn="1" w:firstRow="1" w:lastColumn="0" w:lastRow="0" w:noHBand="0" w:noVBand="1" w:val="04A0"/>
      </w:tblPr>
      <w:tblGrid>
        <w:gridCol w:w="4819"/>
        <w:gridCol w:w="4819"/>
      </w:tblGrid>
      <w:tr>
        <w:tc>
          <w:tcPr>
            <w:tcW w:type="dxa" w:w="2835"/>
            <w:shd w:val="clear" w:color="auto" w:fill="2D6A4F"/>
          </w:tcPr>
          <w:p>
            <w:pPr>
              <w:jc w:val="center"/>
            </w:pPr>
            <w:r>
              <w:rPr>
                <w:rFonts w:ascii="Calibri" w:hAnsi="Calibri"/>
                <w:b/>
                <w:color w:val="FFFFFF"/>
                <w:sz w:val="17"/>
              </w:rPr>
              <w:t>Provision</w:t>
            </w:r>
          </w:p>
        </w:tc>
        <w:tc>
          <w:tcPr>
            <w:tcW w:type="dxa" w:w="6520"/>
            <w:shd w:val="clear" w:color="auto" w:fill="2D6A4F"/>
          </w:tcPr>
          <w:p>
            <w:pPr>
              <w:jc w:val="center"/>
            </w:pPr>
            <w:r>
              <w:rPr>
                <w:rFonts w:ascii="Calibri" w:hAnsi="Calibri"/>
                <w:b/>
                <w:color w:val="FFFFFF"/>
                <w:sz w:val="17"/>
              </w:rPr>
              <w:t>Details</w:t>
            </w:r>
          </w:p>
        </w:tc>
      </w:tr>
      <w:tr>
        <w:tc>
          <w:tcPr>
            <w:tcW w:type="dxa" w:w="2835"/>
            <w:shd w:val="clear" w:color="auto" w:fill="FFFFFF"/>
          </w:tcPr>
          <w:p>
            <w:r>
              <w:rPr>
                <w:rFonts w:ascii="Calibri" w:hAnsi="Calibri"/>
                <w:b w:val="0"/>
                <w:color w:val="1A1A1A"/>
                <w:sz w:val="17"/>
              </w:rPr>
              <w:t>WPA 1972 — Schedule I</w:t>
            </w:r>
          </w:p>
        </w:tc>
        <w:tc>
          <w:tcPr>
            <w:tcW w:type="dxa" w:w="6520"/>
            <w:shd w:val="clear" w:color="auto" w:fill="FFFFFF"/>
          </w:tcPr>
          <w:p>
            <w:r>
              <w:rPr>
                <w:rFonts w:ascii="Calibri" w:hAnsi="Calibri"/>
                <w:b w:val="0"/>
                <w:color w:val="1A1A1A"/>
                <w:sz w:val="17"/>
              </w:rPr>
              <w:t>Asian elephant listed as highest-protection Schedule I species; absolute prohibition on hunting, poaching, trade</w:t>
            </w:r>
          </w:p>
        </w:tc>
      </w:tr>
      <w:tr>
        <w:tc>
          <w:tcPr>
            <w:tcW w:type="dxa" w:w="2835"/>
            <w:shd w:val="clear" w:color="auto" w:fill="EAF7EE"/>
          </w:tcPr>
          <w:p>
            <w:r>
              <w:rPr>
                <w:rFonts w:ascii="Calibri" w:hAnsi="Calibri"/>
                <w:b w:val="0"/>
                <w:color w:val="1A1A1A"/>
                <w:sz w:val="17"/>
              </w:rPr>
              <w:t>National Heritage Animal</w:t>
            </w:r>
          </w:p>
        </w:tc>
        <w:tc>
          <w:tcPr>
            <w:tcW w:type="dxa" w:w="6520"/>
            <w:shd w:val="clear" w:color="auto" w:fill="EAF7EE"/>
          </w:tcPr>
          <w:p>
            <w:r>
              <w:rPr>
                <w:rFonts w:ascii="Calibri" w:hAnsi="Calibri"/>
                <w:b w:val="0"/>
                <w:color w:val="1A1A1A"/>
                <w:sz w:val="17"/>
              </w:rPr>
              <w:t>Designated National Heritage Animal of India by Government of India</w:t>
            </w:r>
          </w:p>
        </w:tc>
      </w:tr>
      <w:tr>
        <w:tc>
          <w:tcPr>
            <w:tcW w:type="dxa" w:w="2835"/>
            <w:shd w:val="clear" w:color="auto" w:fill="FFFFFF"/>
          </w:tcPr>
          <w:p>
            <w:r>
              <w:rPr>
                <w:rFonts w:ascii="Calibri" w:hAnsi="Calibri"/>
                <w:b w:val="0"/>
                <w:color w:val="1A1A1A"/>
                <w:sz w:val="17"/>
              </w:rPr>
              <w:t>Section 40(2) WPA</w:t>
            </w:r>
          </w:p>
        </w:tc>
        <w:tc>
          <w:tcPr>
            <w:tcW w:type="dxa" w:w="6520"/>
            <w:shd w:val="clear" w:color="auto" w:fill="FFFFFF"/>
          </w:tcPr>
          <w:p>
            <w:r>
              <w:rPr>
                <w:rFonts w:ascii="Calibri" w:hAnsi="Calibri"/>
                <w:b w:val="0"/>
                <w:color w:val="1A1A1A"/>
                <w:sz w:val="17"/>
              </w:rPr>
              <w:t>Prohibits acquisition, possession, or transfer of captive elephants without written Chief Wildlife Warden permission</w:t>
            </w:r>
          </w:p>
        </w:tc>
      </w:tr>
      <w:tr>
        <w:tc>
          <w:tcPr>
            <w:tcW w:type="dxa" w:w="2835"/>
            <w:shd w:val="clear" w:color="auto" w:fill="EAF7EE"/>
          </w:tcPr>
          <w:p>
            <w:r>
              <w:rPr>
                <w:rFonts w:ascii="Calibri" w:hAnsi="Calibri"/>
                <w:b w:val="0"/>
                <w:color w:val="1A1A1A"/>
                <w:sz w:val="17"/>
              </w:rPr>
              <w:t>Transit Permit (TP)</w:t>
            </w:r>
          </w:p>
        </w:tc>
        <w:tc>
          <w:tcPr>
            <w:tcW w:type="dxa" w:w="6520"/>
            <w:shd w:val="clear" w:color="auto" w:fill="EAF7EE"/>
          </w:tcPr>
          <w:p>
            <w:r>
              <w:rPr>
                <w:rFonts w:ascii="Calibri" w:hAnsi="Calibri"/>
                <w:b w:val="0"/>
                <w:color w:val="1A1A1A"/>
                <w:sz w:val="17"/>
              </w:rPr>
              <w:t>Mandatory for inter-state movement of any captive elephant; each state must issue TP for passage through its territory</w:t>
            </w:r>
          </w:p>
        </w:tc>
      </w:tr>
      <w:tr>
        <w:tc>
          <w:tcPr>
            <w:tcW w:type="dxa" w:w="2835"/>
            <w:shd w:val="clear" w:color="auto" w:fill="FFFFFF"/>
          </w:tcPr>
          <w:p>
            <w:r>
              <w:rPr>
                <w:rFonts w:ascii="Calibri" w:hAnsi="Calibri"/>
                <w:b w:val="0"/>
                <w:color w:val="1A1A1A"/>
                <w:sz w:val="17"/>
              </w:rPr>
              <w:t>2002 Amendment</w:t>
            </w:r>
          </w:p>
        </w:tc>
        <w:tc>
          <w:tcPr>
            <w:tcW w:type="dxa" w:w="6520"/>
            <w:shd w:val="clear" w:color="auto" w:fill="FFFFFF"/>
          </w:tcPr>
          <w:p>
            <w:r>
              <w:rPr>
                <w:rFonts w:ascii="Calibri" w:hAnsi="Calibri"/>
                <w:b w:val="0"/>
                <w:color w:val="1A1A1A"/>
                <w:sz w:val="17"/>
              </w:rPr>
              <w:t>Banned sale of unregistered captive elephants</w:t>
            </w:r>
          </w:p>
        </w:tc>
      </w:tr>
      <w:tr>
        <w:tc>
          <w:tcPr>
            <w:tcW w:type="dxa" w:w="2835"/>
            <w:shd w:val="clear" w:color="auto" w:fill="EAF7EE"/>
          </w:tcPr>
          <w:p>
            <w:r>
              <w:rPr>
                <w:rFonts w:ascii="Calibri" w:hAnsi="Calibri"/>
                <w:b w:val="0"/>
                <w:color w:val="1A1A1A"/>
                <w:sz w:val="17"/>
              </w:rPr>
              <w:t>Penalties</w:t>
            </w:r>
          </w:p>
        </w:tc>
        <w:tc>
          <w:tcPr>
            <w:tcW w:type="dxa" w:w="6520"/>
            <w:shd w:val="clear" w:color="auto" w:fill="EAF7EE"/>
          </w:tcPr>
          <w:p>
            <w:r>
              <w:rPr>
                <w:rFonts w:ascii="Calibri" w:hAnsi="Calibri"/>
                <w:b w:val="0"/>
                <w:color w:val="1A1A1A"/>
                <w:sz w:val="17"/>
              </w:rPr>
              <w:t>Up to 7 years imprisonment plus fines for violations of Schedule I protections</w:t>
            </w:r>
          </w:p>
        </w:tc>
      </w:tr>
      <w:tr>
        <w:tc>
          <w:tcPr>
            <w:tcW w:type="dxa" w:w="2835"/>
            <w:shd w:val="clear" w:color="auto" w:fill="FFFFFF"/>
          </w:tcPr>
          <w:p>
            <w:r>
              <w:rPr>
                <w:rFonts w:ascii="Calibri" w:hAnsi="Calibri"/>
                <w:b w:val="0"/>
                <w:color w:val="1A1A1A"/>
                <w:sz w:val="17"/>
              </w:rPr>
              <w:t>Project Elephant (1992)</w:t>
            </w:r>
          </w:p>
        </w:tc>
        <w:tc>
          <w:tcPr>
            <w:tcW w:type="dxa" w:w="6520"/>
            <w:shd w:val="clear" w:color="auto" w:fill="FFFFFF"/>
          </w:tcPr>
          <w:p>
            <w:r>
              <w:rPr>
                <w:rFonts w:ascii="Calibri" w:hAnsi="Calibri"/>
                <w:b w:val="0"/>
                <w:color w:val="1A1A1A"/>
                <w:sz w:val="17"/>
              </w:rPr>
              <w:t>Central government scheme: habitat protection, corridor maintenance, human–elephant conflict mitigation, research, and veterinary care</w:t>
            </w:r>
          </w:p>
        </w:tc>
      </w:tr>
      <w:tr>
        <w:tc>
          <w:tcPr>
            <w:tcW w:type="dxa" w:w="2835"/>
            <w:shd w:val="clear" w:color="auto" w:fill="EAF7EE"/>
          </w:tcPr>
          <w:p>
            <w:r>
              <w:rPr>
                <w:rFonts w:ascii="Calibri" w:hAnsi="Calibri"/>
                <w:b w:val="0"/>
                <w:color w:val="1A1A1A"/>
                <w:sz w:val="17"/>
              </w:rPr>
              <w:t>88 Elephant Corridors</w:t>
            </w:r>
          </w:p>
        </w:tc>
        <w:tc>
          <w:tcPr>
            <w:tcW w:type="dxa" w:w="6520"/>
            <w:shd w:val="clear" w:color="auto" w:fill="EAF7EE"/>
          </w:tcPr>
          <w:p>
            <w:r>
              <w:rPr>
                <w:rFonts w:ascii="Calibri" w:hAnsi="Calibri"/>
                <w:b w:val="0"/>
                <w:color w:val="1A1A1A"/>
                <w:sz w:val="17"/>
              </w:rPr>
              <w:t>Identified by WII and MoEFCC for legal notification and protection to maintain gene flow and seasonal movement</w:t>
            </w:r>
          </w:p>
        </w:tc>
      </w:tr>
      <w:tr>
        <w:tc>
          <w:tcPr>
            <w:tcW w:type="dxa" w:w="2835"/>
            <w:shd w:val="clear" w:color="auto" w:fill="FFFFFF"/>
          </w:tcPr>
          <w:p>
            <w:r>
              <w:rPr>
                <w:rFonts w:ascii="Calibri" w:hAnsi="Calibri"/>
                <w:b w:val="0"/>
                <w:color w:val="1A1A1A"/>
                <w:sz w:val="17"/>
              </w:rPr>
              <w:t>CITES Appendix I</w:t>
            </w:r>
          </w:p>
        </w:tc>
        <w:tc>
          <w:tcPr>
            <w:tcW w:type="dxa" w:w="6520"/>
            <w:shd w:val="clear" w:color="auto" w:fill="FFFFFF"/>
          </w:tcPr>
          <w:p>
            <w:r>
              <w:rPr>
                <w:rFonts w:ascii="Calibri" w:hAnsi="Calibri"/>
                <w:b w:val="0"/>
                <w:color w:val="1A1A1A"/>
                <w:sz w:val="17"/>
              </w:rPr>
              <w:t>International trade ban: elephants are Appendix I listed; ivory trade illegal; Schreger line test required for all ivory seizures</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LEGAL REQUIREMENT: All elephant mortality MUST be reported to the Range Officer / DFO within 24 hours. Post-mortem is mandatory. Evidence preservation (photographs, ivory/tusk measurement, stomach contents) is required for FIR filing under WPA 1972.</w:t>
            </w:r>
          </w:p>
        </w:tc>
      </w:tr>
    </w:tbl>
    <w:p>
      <w:pPr>
        <w:spacing w:after="40"/>
      </w:pPr>
    </w:p>
    <w:p/>
    <w:p>
      <w:pPr>
        <w:spacing w:before="0" w:after="0"/>
      </w:pPr>
      <w:r>
        <w:br w:type="page"/>
      </w:r>
    </w:p>
    <w:p>
      <w:pPr>
        <w:pStyle w:val="Heading1"/>
        <w:spacing w:before="160" w:after="40"/>
      </w:pPr>
      <w:r>
        <w:t>15.  Clinical Reference Values — Haematology &amp; Biochemistry</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15.  Clinical Reference Values — Haematology &amp; Biochemistry</w:t>
            </w:r>
          </w:p>
        </w:tc>
      </w:tr>
    </w:tbl>
    <w:p>
      <w:pPr>
        <w:spacing w:after="40"/>
      </w:pPr>
    </w:p>
    <w:p>
      <w:pPr>
        <w:spacing w:after="80"/>
        <w:jc w:val="left"/>
      </w:pPr>
      <w:r>
        <w:rPr>
          <w:rFonts w:ascii="Calibri" w:hAnsi="Calibri"/>
          <w:b w:val="0"/>
          <w:i w:val="0"/>
          <w:color w:val="1A1A1A"/>
          <w:sz w:val="19"/>
        </w:rPr>
        <w:t>The following reference intervals are derived from a 2025 study of 92 captive Indian elephants (Elephas maximus indicus) under human care in southern India (Frontiers in Veterinary Science, 2025; PMC12301552). These represent the most current published reference values for the Indian subspecies:</w:t>
      </w:r>
    </w:p>
    <w:p>
      <w:pPr>
        <w:pStyle w:val="Heading2"/>
        <w:spacing w:before="80" w:after="40"/>
      </w:pPr>
      <w:r>
        <w:t>15.1  Haematology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15.1  Haematology</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685"/>
            <w:shd w:val="clear" w:color="auto" w:fill="2D6A4F"/>
          </w:tcPr>
          <w:p>
            <w:pPr>
              <w:jc w:val="center"/>
            </w:pPr>
            <w:r>
              <w:rPr>
                <w:rFonts w:ascii="Calibri" w:hAnsi="Calibri"/>
                <w:b/>
                <w:color w:val="FFFFFF"/>
                <w:sz w:val="17"/>
              </w:rPr>
              <w:t>Parameter</w:t>
            </w:r>
          </w:p>
        </w:tc>
        <w:tc>
          <w:tcPr>
            <w:tcW w:type="dxa" w:w="2835"/>
            <w:shd w:val="clear" w:color="auto" w:fill="2D6A4F"/>
          </w:tcPr>
          <w:p>
            <w:pPr>
              <w:jc w:val="center"/>
            </w:pPr>
            <w:r>
              <w:rPr>
                <w:rFonts w:ascii="Calibri" w:hAnsi="Calibri"/>
                <w:b/>
                <w:color w:val="FFFFFF"/>
                <w:sz w:val="17"/>
              </w:rPr>
              <w:t>Reference Interval</w:t>
            </w:r>
          </w:p>
        </w:tc>
        <w:tc>
          <w:tcPr>
            <w:tcW w:type="dxa" w:w="2835"/>
            <w:shd w:val="clear" w:color="auto" w:fill="2D6A4F"/>
          </w:tcPr>
          <w:p>
            <w:pPr>
              <w:jc w:val="center"/>
            </w:pPr>
            <w:r>
              <w:rPr>
                <w:rFonts w:ascii="Calibri" w:hAnsi="Calibri"/>
                <w:b/>
                <w:color w:val="FFFFFF"/>
                <w:sz w:val="17"/>
              </w:rPr>
              <w:t>Units</w:t>
            </w:r>
          </w:p>
        </w:tc>
      </w:tr>
      <w:tr>
        <w:tc>
          <w:tcPr>
            <w:tcW w:type="dxa" w:w="3685"/>
            <w:shd w:val="clear" w:color="auto" w:fill="FFFFFF"/>
          </w:tcPr>
          <w:p>
            <w:r>
              <w:rPr>
                <w:rFonts w:ascii="Calibri" w:hAnsi="Calibri"/>
                <w:b w:val="0"/>
                <w:color w:val="1A1A1A"/>
                <w:sz w:val="17"/>
              </w:rPr>
              <w:t>Haemoglobin (Hb)</w:t>
            </w:r>
          </w:p>
        </w:tc>
        <w:tc>
          <w:tcPr>
            <w:tcW w:type="dxa" w:w="2835"/>
            <w:shd w:val="clear" w:color="auto" w:fill="FFFFFF"/>
          </w:tcPr>
          <w:p>
            <w:r>
              <w:rPr>
                <w:rFonts w:ascii="Calibri" w:hAnsi="Calibri"/>
                <w:b w:val="0"/>
                <w:color w:val="1A1A1A"/>
                <w:sz w:val="17"/>
              </w:rPr>
              <w:t>8.62 – 16.78</w:t>
            </w:r>
          </w:p>
        </w:tc>
        <w:tc>
          <w:tcPr>
            <w:tcW w:type="dxa" w:w="2835"/>
            <w:shd w:val="clear" w:color="auto" w:fill="FFFFFF"/>
          </w:tcPr>
          <w:p>
            <w:r>
              <w:rPr>
                <w:rFonts w:ascii="Calibri" w:hAnsi="Calibri"/>
                <w:b w:val="0"/>
                <w:color w:val="1A1A1A"/>
                <w:sz w:val="17"/>
              </w:rPr>
              <w:t>g/dL</w:t>
            </w:r>
          </w:p>
        </w:tc>
      </w:tr>
      <w:tr>
        <w:tc>
          <w:tcPr>
            <w:tcW w:type="dxa" w:w="3685"/>
            <w:shd w:val="clear" w:color="auto" w:fill="EAF7EE"/>
          </w:tcPr>
          <w:p>
            <w:r>
              <w:rPr>
                <w:rFonts w:ascii="Calibri" w:hAnsi="Calibri"/>
                <w:b w:val="0"/>
                <w:color w:val="1A1A1A"/>
                <w:sz w:val="17"/>
              </w:rPr>
              <w:t>Packed Cell Volume (PCV)</w:t>
            </w:r>
          </w:p>
        </w:tc>
        <w:tc>
          <w:tcPr>
            <w:tcW w:type="dxa" w:w="2835"/>
            <w:shd w:val="clear" w:color="auto" w:fill="EAF7EE"/>
          </w:tcPr>
          <w:p>
            <w:r>
              <w:rPr>
                <w:rFonts w:ascii="Calibri" w:hAnsi="Calibri"/>
                <w:b w:val="0"/>
                <w:color w:val="1A1A1A"/>
                <w:sz w:val="17"/>
              </w:rPr>
              <w:t>21.73 – 49.25</w:t>
            </w:r>
          </w:p>
        </w:tc>
        <w:tc>
          <w:tcPr>
            <w:tcW w:type="dxa" w:w="2835"/>
            <w:shd w:val="clear" w:color="auto" w:fill="EAF7EE"/>
          </w:tcPr>
          <w:p>
            <w:r>
              <w:rPr>
                <w:rFonts w:ascii="Calibri" w:hAnsi="Calibri"/>
                <w:b w:val="0"/>
                <w:color w:val="1A1A1A"/>
                <w:sz w:val="17"/>
              </w:rPr>
              <w:t>%</w:t>
            </w:r>
          </w:p>
        </w:tc>
      </w:tr>
      <w:tr>
        <w:tc>
          <w:tcPr>
            <w:tcW w:type="dxa" w:w="3685"/>
            <w:shd w:val="clear" w:color="auto" w:fill="FFFFFF"/>
          </w:tcPr>
          <w:p>
            <w:r>
              <w:rPr>
                <w:rFonts w:ascii="Calibri" w:hAnsi="Calibri"/>
                <w:b w:val="0"/>
                <w:color w:val="1A1A1A"/>
                <w:sz w:val="17"/>
              </w:rPr>
              <w:t>White Blood Cell Count (WBC)</w:t>
            </w:r>
          </w:p>
        </w:tc>
        <w:tc>
          <w:tcPr>
            <w:tcW w:type="dxa" w:w="2835"/>
            <w:shd w:val="clear" w:color="auto" w:fill="FFFFFF"/>
          </w:tcPr>
          <w:p>
            <w:r>
              <w:rPr>
                <w:rFonts w:ascii="Calibri" w:hAnsi="Calibri"/>
                <w:b w:val="0"/>
                <w:color w:val="1A1A1A"/>
                <w:sz w:val="17"/>
              </w:rPr>
              <w:t>9,912 – 29,475</w:t>
            </w:r>
          </w:p>
        </w:tc>
        <w:tc>
          <w:tcPr>
            <w:tcW w:type="dxa" w:w="2835"/>
            <w:shd w:val="clear" w:color="auto" w:fill="FFFFFF"/>
          </w:tcPr>
          <w:p>
            <w:r>
              <w:rPr>
                <w:rFonts w:ascii="Calibri" w:hAnsi="Calibri"/>
                <w:b w:val="0"/>
                <w:color w:val="1A1A1A"/>
                <w:sz w:val="17"/>
              </w:rPr>
              <w:t>cells/μL</w:t>
            </w:r>
          </w:p>
        </w:tc>
      </w:tr>
      <w:tr>
        <w:tc>
          <w:tcPr>
            <w:tcW w:type="dxa" w:w="3685"/>
            <w:shd w:val="clear" w:color="auto" w:fill="EAF7EE"/>
          </w:tcPr>
          <w:p>
            <w:r>
              <w:rPr>
                <w:rFonts w:ascii="Calibri" w:hAnsi="Calibri"/>
                <w:b w:val="0"/>
                <w:color w:val="1A1A1A"/>
                <w:sz w:val="17"/>
              </w:rPr>
              <w:t>Lymphocytes</w:t>
            </w:r>
          </w:p>
        </w:tc>
        <w:tc>
          <w:tcPr>
            <w:tcW w:type="dxa" w:w="2835"/>
            <w:shd w:val="clear" w:color="auto" w:fill="EAF7EE"/>
          </w:tcPr>
          <w:p>
            <w:r>
              <w:rPr>
                <w:rFonts w:ascii="Calibri" w:hAnsi="Calibri"/>
                <w:b w:val="0"/>
                <w:color w:val="1A1A1A"/>
                <w:sz w:val="17"/>
              </w:rPr>
              <w:t>Dominant WBC type — manual differential required</w:t>
            </w:r>
          </w:p>
        </w:tc>
        <w:tc>
          <w:tcPr>
            <w:tcW w:type="dxa" w:w="2835"/>
            <w:shd w:val="clear" w:color="auto" w:fill="EAF7EE"/>
          </w:tcPr>
          <w:p>
            <w:r>
              <w:rPr>
                <w:rFonts w:ascii="Calibri" w:hAnsi="Calibri"/>
                <w:b w:val="0"/>
                <w:color w:val="1A1A1A"/>
                <w:sz w:val="17"/>
              </w:rPr>
            </w:r>
          </w:p>
        </w:tc>
      </w:tr>
      <w:tr>
        <w:tc>
          <w:tcPr>
            <w:tcW w:type="dxa" w:w="3685"/>
            <w:shd w:val="clear" w:color="auto" w:fill="FFFFFF"/>
          </w:tcPr>
          <w:p>
            <w:r>
              <w:rPr>
                <w:rFonts w:ascii="Calibri" w:hAnsi="Calibri"/>
                <w:b w:val="0"/>
                <w:color w:val="1A1A1A"/>
                <w:sz w:val="17"/>
              </w:rPr>
              <w:t>NOTE: monocytes have bi-lobed morphology</w:t>
            </w:r>
          </w:p>
        </w:tc>
        <w:tc>
          <w:tcPr>
            <w:tcW w:type="dxa" w:w="2835"/>
            <w:shd w:val="clear" w:color="auto" w:fill="FFFFFF"/>
          </w:tcPr>
          <w:p>
            <w:r>
              <w:rPr>
                <w:rFonts w:ascii="Calibri" w:hAnsi="Calibri"/>
                <w:b w:val="0"/>
                <w:color w:val="1A1A1A"/>
                <w:sz w:val="17"/>
              </w:rPr>
              <w:t>Automated analysers over-report lymphocytes</w:t>
            </w:r>
          </w:p>
        </w:tc>
        <w:tc>
          <w:tcPr>
            <w:tcW w:type="dxa" w:w="2835"/>
            <w:shd w:val="clear" w:color="auto" w:fill="FFFFFF"/>
          </w:tcPr>
          <w:p>
            <w:r>
              <w:rPr>
                <w:rFonts w:ascii="Calibri" w:hAnsi="Calibri"/>
                <w:b w:val="0"/>
                <w:color w:val="1A1A1A"/>
                <w:sz w:val="17"/>
              </w:rPr>
              <w:t>Manual film review essential</w:t>
            </w:r>
          </w:p>
        </w:tc>
      </w:tr>
    </w:tbl>
    <w:p>
      <w:pPr>
        <w:spacing w:after="40"/>
      </w:pPr>
    </w:p>
    <w:p>
      <w:pPr>
        <w:pStyle w:val="Heading2"/>
        <w:spacing w:before="80" w:after="40"/>
      </w:pPr>
      <w:r>
        <w:t>15.2  Serum Biochemistry</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15.2  Serum Biochemistry</w:t>
            </w:r>
          </w:p>
        </w:tc>
      </w:tr>
    </w:tbl>
    <w:p>
      <w:pPr>
        <w:spacing w:after="40"/>
      </w:pPr>
    </w:p>
    <w:tbl>
      <w:tblPr>
        <w:tblStyle w:val="TableGrid"/>
        <w:tblW w:type="auto" w:w="0"/>
        <w:tblLook w:firstColumn="1" w:firstRow="1" w:lastColumn="0" w:lastRow="0" w:noHBand="0" w:noVBand="1" w:val="04A0"/>
      </w:tblPr>
      <w:tblGrid>
        <w:gridCol w:w="2409"/>
        <w:gridCol w:w="2409"/>
        <w:gridCol w:w="2409"/>
        <w:gridCol w:w="2409"/>
      </w:tblGrid>
      <w:tr>
        <w:tc>
          <w:tcPr>
            <w:tcW w:type="dxa" w:w="2835"/>
            <w:shd w:val="clear" w:color="auto" w:fill="2D6A4F"/>
          </w:tcPr>
          <w:p>
            <w:pPr>
              <w:jc w:val="center"/>
            </w:pPr>
            <w:r>
              <w:rPr>
                <w:rFonts w:ascii="Calibri" w:hAnsi="Calibri"/>
                <w:b/>
                <w:color w:val="FFFFFF"/>
                <w:sz w:val="17"/>
              </w:rPr>
              <w:t>Parameter</w:t>
            </w:r>
          </w:p>
        </w:tc>
        <w:tc>
          <w:tcPr>
            <w:tcW w:type="dxa" w:w="1984"/>
            <w:shd w:val="clear" w:color="auto" w:fill="2D6A4F"/>
          </w:tcPr>
          <w:p>
            <w:pPr>
              <w:jc w:val="center"/>
            </w:pPr>
            <w:r>
              <w:rPr>
                <w:rFonts w:ascii="Calibri" w:hAnsi="Calibri"/>
                <w:b/>
                <w:color w:val="FFFFFF"/>
                <w:sz w:val="17"/>
              </w:rPr>
              <w:t>Reference Interval</w:t>
            </w:r>
          </w:p>
        </w:tc>
        <w:tc>
          <w:tcPr>
            <w:tcW w:type="dxa" w:w="1417"/>
            <w:shd w:val="clear" w:color="auto" w:fill="2D6A4F"/>
          </w:tcPr>
          <w:p>
            <w:pPr>
              <w:jc w:val="center"/>
            </w:pPr>
            <w:r>
              <w:rPr>
                <w:rFonts w:ascii="Calibri" w:hAnsi="Calibri"/>
                <w:b/>
                <w:color w:val="FFFFFF"/>
                <w:sz w:val="17"/>
              </w:rPr>
              <w:t>Units</w:t>
            </w:r>
          </w:p>
        </w:tc>
        <w:tc>
          <w:tcPr>
            <w:tcW w:type="dxa" w:w="3118"/>
            <w:shd w:val="clear" w:color="auto" w:fill="2D6A4F"/>
          </w:tcPr>
          <w:p>
            <w:pPr>
              <w:jc w:val="center"/>
            </w:pPr>
            <w:r>
              <w:rPr>
                <w:rFonts w:ascii="Calibri" w:hAnsi="Calibri"/>
                <w:b/>
                <w:color w:val="FFFFFF"/>
                <w:sz w:val="17"/>
              </w:rPr>
              <w:t>Clinical Note</w:t>
            </w:r>
          </w:p>
        </w:tc>
      </w:tr>
      <w:tr>
        <w:tc>
          <w:tcPr>
            <w:tcW w:type="dxa" w:w="2835"/>
            <w:shd w:val="clear" w:color="auto" w:fill="FFFFFF"/>
          </w:tcPr>
          <w:p>
            <w:r>
              <w:rPr>
                <w:rFonts w:ascii="Calibri" w:hAnsi="Calibri"/>
                <w:b w:val="0"/>
                <w:color w:val="1A1A1A"/>
                <w:sz w:val="17"/>
              </w:rPr>
              <w:t>ALT (SGPT)</w:t>
            </w:r>
          </w:p>
        </w:tc>
        <w:tc>
          <w:tcPr>
            <w:tcW w:type="dxa" w:w="1984"/>
            <w:shd w:val="clear" w:color="auto" w:fill="FFFFFF"/>
          </w:tcPr>
          <w:p>
            <w:r>
              <w:rPr>
                <w:rFonts w:ascii="Calibri" w:hAnsi="Calibri"/>
                <w:b w:val="0"/>
                <w:color w:val="1A1A1A"/>
                <w:sz w:val="17"/>
              </w:rPr>
              <w:t>4.01 – 20.34</w:t>
            </w:r>
          </w:p>
        </w:tc>
        <w:tc>
          <w:tcPr>
            <w:tcW w:type="dxa" w:w="1417"/>
            <w:shd w:val="clear" w:color="auto" w:fill="FFFFFF"/>
          </w:tcPr>
          <w:p>
            <w:r>
              <w:rPr>
                <w:rFonts w:ascii="Calibri" w:hAnsi="Calibri"/>
                <w:b w:val="0"/>
                <w:color w:val="1A1A1A"/>
                <w:sz w:val="17"/>
              </w:rPr>
              <w:t>U/L</w:t>
            </w:r>
          </w:p>
        </w:tc>
        <w:tc>
          <w:tcPr>
            <w:tcW w:type="dxa" w:w="3118"/>
            <w:shd w:val="clear" w:color="auto" w:fill="FFFFFF"/>
          </w:tcPr>
          <w:p>
            <w:r>
              <w:rPr>
                <w:rFonts w:ascii="Calibri" w:hAnsi="Calibri"/>
                <w:b w:val="0"/>
                <w:color w:val="1A1A1A"/>
                <w:sz w:val="17"/>
              </w:rPr>
              <w:t>Lower than most domestic species</w:t>
            </w:r>
          </w:p>
        </w:tc>
      </w:tr>
      <w:tr>
        <w:tc>
          <w:tcPr>
            <w:tcW w:type="dxa" w:w="2835"/>
            <w:shd w:val="clear" w:color="auto" w:fill="EAF7EE"/>
          </w:tcPr>
          <w:p>
            <w:r>
              <w:rPr>
                <w:rFonts w:ascii="Calibri" w:hAnsi="Calibri"/>
                <w:b w:val="0"/>
                <w:color w:val="1A1A1A"/>
                <w:sz w:val="17"/>
              </w:rPr>
              <w:t>Alkaline Phosphatase (ALP)</w:t>
            </w:r>
          </w:p>
        </w:tc>
        <w:tc>
          <w:tcPr>
            <w:tcW w:type="dxa" w:w="1984"/>
            <w:shd w:val="clear" w:color="auto" w:fill="EAF7EE"/>
          </w:tcPr>
          <w:p>
            <w:r>
              <w:rPr>
                <w:rFonts w:ascii="Calibri" w:hAnsi="Calibri"/>
                <w:b w:val="0"/>
                <w:color w:val="1A1A1A"/>
                <w:sz w:val="17"/>
              </w:rPr>
              <w:t>124.89 – 556.68</w:t>
            </w:r>
          </w:p>
        </w:tc>
        <w:tc>
          <w:tcPr>
            <w:tcW w:type="dxa" w:w="1417"/>
            <w:shd w:val="clear" w:color="auto" w:fill="EAF7EE"/>
          </w:tcPr>
          <w:p>
            <w:r>
              <w:rPr>
                <w:rFonts w:ascii="Calibri" w:hAnsi="Calibri"/>
                <w:b w:val="0"/>
                <w:color w:val="1A1A1A"/>
                <w:sz w:val="17"/>
              </w:rPr>
              <w:t>U/L</w:t>
            </w:r>
          </w:p>
        </w:tc>
        <w:tc>
          <w:tcPr>
            <w:tcW w:type="dxa" w:w="3118"/>
            <w:shd w:val="clear" w:color="auto" w:fill="EAF7EE"/>
          </w:tcPr>
          <w:p>
            <w:r>
              <w:rPr>
                <w:rFonts w:ascii="Calibri" w:hAnsi="Calibri"/>
                <w:b w:val="0"/>
                <w:color w:val="1A1A1A"/>
                <w:sz w:val="17"/>
              </w:rPr>
              <w:t>Very wide range; age-dependent (growing elephants higher)</w:t>
            </w:r>
          </w:p>
        </w:tc>
      </w:tr>
      <w:tr>
        <w:tc>
          <w:tcPr>
            <w:tcW w:type="dxa" w:w="2835"/>
            <w:shd w:val="clear" w:color="auto" w:fill="FFFFFF"/>
          </w:tcPr>
          <w:p>
            <w:r>
              <w:rPr>
                <w:rFonts w:ascii="Calibri" w:hAnsi="Calibri"/>
                <w:b w:val="0"/>
                <w:color w:val="1A1A1A"/>
                <w:sz w:val="17"/>
              </w:rPr>
              <w:t>GGT</w:t>
            </w:r>
          </w:p>
        </w:tc>
        <w:tc>
          <w:tcPr>
            <w:tcW w:type="dxa" w:w="1984"/>
            <w:shd w:val="clear" w:color="auto" w:fill="FFFFFF"/>
          </w:tcPr>
          <w:p>
            <w:r>
              <w:rPr>
                <w:rFonts w:ascii="Calibri" w:hAnsi="Calibri"/>
                <w:b w:val="0"/>
                <w:color w:val="1A1A1A"/>
                <w:sz w:val="17"/>
              </w:rPr>
              <w:t>2.38 – 23.18</w:t>
            </w:r>
          </w:p>
        </w:tc>
        <w:tc>
          <w:tcPr>
            <w:tcW w:type="dxa" w:w="1417"/>
            <w:shd w:val="clear" w:color="auto" w:fill="FFFFFF"/>
          </w:tcPr>
          <w:p>
            <w:r>
              <w:rPr>
                <w:rFonts w:ascii="Calibri" w:hAnsi="Calibri"/>
                <w:b w:val="0"/>
                <w:color w:val="1A1A1A"/>
                <w:sz w:val="17"/>
              </w:rPr>
              <w:t>U/L</w:t>
            </w:r>
          </w:p>
        </w:tc>
        <w:tc>
          <w:tcPr>
            <w:tcW w:type="dxa" w:w="3118"/>
            <w:shd w:val="clear" w:color="auto" w:fill="FFFFFF"/>
          </w:tcPr>
          <w:p>
            <w:r>
              <w:rPr>
                <w:rFonts w:ascii="Calibri" w:hAnsi="Calibri"/>
                <w:b w:val="0"/>
                <w:color w:val="1A1A1A"/>
                <w:sz w:val="17"/>
              </w:rPr>
              <w:t>Hepatic marker</w:t>
            </w:r>
          </w:p>
        </w:tc>
      </w:tr>
      <w:tr>
        <w:tc>
          <w:tcPr>
            <w:tcW w:type="dxa" w:w="2835"/>
            <w:shd w:val="clear" w:color="auto" w:fill="EAF7EE"/>
          </w:tcPr>
          <w:p>
            <w:r>
              <w:rPr>
                <w:rFonts w:ascii="Calibri" w:hAnsi="Calibri"/>
                <w:b w:val="0"/>
                <w:color w:val="1A1A1A"/>
                <w:sz w:val="17"/>
              </w:rPr>
              <w:t>Creatinine</w:t>
            </w:r>
          </w:p>
        </w:tc>
        <w:tc>
          <w:tcPr>
            <w:tcW w:type="dxa" w:w="1984"/>
            <w:shd w:val="clear" w:color="auto" w:fill="EAF7EE"/>
          </w:tcPr>
          <w:p>
            <w:r>
              <w:rPr>
                <w:rFonts w:ascii="Calibri" w:hAnsi="Calibri"/>
                <w:b w:val="0"/>
                <w:color w:val="1A1A1A"/>
                <w:sz w:val="17"/>
              </w:rPr>
              <w:t>0.65 – 2.06</w:t>
            </w:r>
          </w:p>
        </w:tc>
        <w:tc>
          <w:tcPr>
            <w:tcW w:type="dxa" w:w="1417"/>
            <w:shd w:val="clear" w:color="auto" w:fill="EAF7EE"/>
          </w:tcPr>
          <w:p>
            <w:r>
              <w:rPr>
                <w:rFonts w:ascii="Calibri" w:hAnsi="Calibri"/>
                <w:b w:val="0"/>
                <w:color w:val="1A1A1A"/>
                <w:sz w:val="17"/>
              </w:rPr>
              <w:t>mg/dL</w:t>
            </w:r>
          </w:p>
        </w:tc>
        <w:tc>
          <w:tcPr>
            <w:tcW w:type="dxa" w:w="3118"/>
            <w:shd w:val="clear" w:color="auto" w:fill="EAF7EE"/>
          </w:tcPr>
          <w:p>
            <w:r>
              <w:rPr>
                <w:rFonts w:ascii="Calibri" w:hAnsi="Calibri"/>
                <w:b w:val="0"/>
                <w:color w:val="1A1A1A"/>
                <w:sz w:val="17"/>
              </w:rPr>
              <w:t>Renal function</w:t>
            </w:r>
          </w:p>
        </w:tc>
      </w:tr>
      <w:tr>
        <w:tc>
          <w:tcPr>
            <w:tcW w:type="dxa" w:w="2835"/>
            <w:shd w:val="clear" w:color="auto" w:fill="FFFFFF"/>
          </w:tcPr>
          <w:p>
            <w:r>
              <w:rPr>
                <w:rFonts w:ascii="Calibri" w:hAnsi="Calibri"/>
                <w:b w:val="0"/>
                <w:color w:val="1A1A1A"/>
                <w:sz w:val="17"/>
              </w:rPr>
              <w:t>Blood Urea Nitrogen (BUN)</w:t>
            </w:r>
          </w:p>
        </w:tc>
        <w:tc>
          <w:tcPr>
            <w:tcW w:type="dxa" w:w="1984"/>
            <w:shd w:val="clear" w:color="auto" w:fill="FFFFFF"/>
          </w:tcPr>
          <w:p>
            <w:r>
              <w:rPr>
                <w:rFonts w:ascii="Calibri" w:hAnsi="Calibri"/>
                <w:b w:val="0"/>
                <w:color w:val="1A1A1A"/>
                <w:sz w:val="17"/>
              </w:rPr>
              <w:t>4.12 – 24.32</w:t>
            </w:r>
          </w:p>
        </w:tc>
        <w:tc>
          <w:tcPr>
            <w:tcW w:type="dxa" w:w="1417"/>
            <w:shd w:val="clear" w:color="auto" w:fill="FFFFFF"/>
          </w:tcPr>
          <w:p>
            <w:r>
              <w:rPr>
                <w:rFonts w:ascii="Calibri" w:hAnsi="Calibri"/>
                <w:b w:val="0"/>
                <w:color w:val="1A1A1A"/>
                <w:sz w:val="17"/>
              </w:rPr>
              <w:t>mg/dL</w:t>
            </w:r>
          </w:p>
        </w:tc>
        <w:tc>
          <w:tcPr>
            <w:tcW w:type="dxa" w:w="3118"/>
            <w:shd w:val="clear" w:color="auto" w:fill="FFFFFF"/>
          </w:tcPr>
          <w:p>
            <w:r>
              <w:rPr>
                <w:rFonts w:ascii="Calibri" w:hAnsi="Calibri"/>
                <w:b w:val="0"/>
                <w:color w:val="1A1A1A"/>
                <w:sz w:val="17"/>
              </w:rPr>
              <w:t>Renal + dietary protein</w:t>
            </w:r>
          </w:p>
        </w:tc>
      </w:tr>
      <w:tr>
        <w:tc>
          <w:tcPr>
            <w:tcW w:type="dxa" w:w="2835"/>
            <w:shd w:val="clear" w:color="auto" w:fill="EAF7EE"/>
          </w:tcPr>
          <w:p>
            <w:r>
              <w:rPr>
                <w:rFonts w:ascii="Calibri" w:hAnsi="Calibri"/>
                <w:b w:val="0"/>
                <w:color w:val="1A1A1A"/>
                <w:sz w:val="17"/>
              </w:rPr>
              <w:t>Total Protein</w:t>
            </w:r>
          </w:p>
        </w:tc>
        <w:tc>
          <w:tcPr>
            <w:tcW w:type="dxa" w:w="1984"/>
            <w:shd w:val="clear" w:color="auto" w:fill="EAF7EE"/>
          </w:tcPr>
          <w:p>
            <w:r>
              <w:rPr>
                <w:rFonts w:ascii="Calibri" w:hAnsi="Calibri"/>
                <w:b w:val="0"/>
                <w:color w:val="1A1A1A"/>
                <w:sz w:val="17"/>
              </w:rPr>
              <w:t>5.54 – 9.30</w:t>
            </w:r>
          </w:p>
        </w:tc>
        <w:tc>
          <w:tcPr>
            <w:tcW w:type="dxa" w:w="1417"/>
            <w:shd w:val="clear" w:color="auto" w:fill="EAF7EE"/>
          </w:tcPr>
          <w:p>
            <w:r>
              <w:rPr>
                <w:rFonts w:ascii="Calibri" w:hAnsi="Calibri"/>
                <w:b w:val="0"/>
                <w:color w:val="1A1A1A"/>
                <w:sz w:val="17"/>
              </w:rPr>
              <w:t>g/dL</w:t>
            </w:r>
          </w:p>
        </w:tc>
        <w:tc>
          <w:tcPr>
            <w:tcW w:type="dxa" w:w="3118"/>
            <w:shd w:val="clear" w:color="auto" w:fill="EAF7EE"/>
          </w:tcPr>
          <w:p>
            <w:r>
              <w:rPr>
                <w:rFonts w:ascii="Calibri" w:hAnsi="Calibri"/>
                <w:b w:val="0"/>
                <w:color w:val="1A1A1A"/>
                <w:sz w:val="17"/>
              </w:rPr>
            </w:r>
          </w:p>
        </w:tc>
      </w:tr>
      <w:tr>
        <w:tc>
          <w:tcPr>
            <w:tcW w:type="dxa" w:w="2835"/>
            <w:shd w:val="clear" w:color="auto" w:fill="FFFFFF"/>
          </w:tcPr>
          <w:p>
            <w:r>
              <w:rPr>
                <w:rFonts w:ascii="Calibri" w:hAnsi="Calibri"/>
                <w:b w:val="0"/>
                <w:color w:val="1A1A1A"/>
                <w:sz w:val="17"/>
              </w:rPr>
              <w:t>Albumin</w:t>
            </w:r>
          </w:p>
        </w:tc>
        <w:tc>
          <w:tcPr>
            <w:tcW w:type="dxa" w:w="1984"/>
            <w:shd w:val="clear" w:color="auto" w:fill="FFFFFF"/>
          </w:tcPr>
          <w:p>
            <w:r>
              <w:rPr>
                <w:rFonts w:ascii="Calibri" w:hAnsi="Calibri"/>
                <w:b w:val="0"/>
                <w:color w:val="1A1A1A"/>
                <w:sz w:val="17"/>
              </w:rPr>
              <w:t>2.00 – 2.91</w:t>
            </w:r>
          </w:p>
        </w:tc>
        <w:tc>
          <w:tcPr>
            <w:tcW w:type="dxa" w:w="1417"/>
            <w:shd w:val="clear" w:color="auto" w:fill="FFFFFF"/>
          </w:tcPr>
          <w:p>
            <w:r>
              <w:rPr>
                <w:rFonts w:ascii="Calibri" w:hAnsi="Calibri"/>
                <w:b w:val="0"/>
                <w:color w:val="1A1A1A"/>
                <w:sz w:val="17"/>
              </w:rPr>
              <w:t>g/dL</w:t>
            </w:r>
          </w:p>
        </w:tc>
        <w:tc>
          <w:tcPr>
            <w:tcW w:type="dxa" w:w="3118"/>
            <w:shd w:val="clear" w:color="auto" w:fill="FFFFFF"/>
          </w:tcPr>
          <w:p>
            <w:r>
              <w:rPr>
                <w:rFonts w:ascii="Calibri" w:hAnsi="Calibri"/>
                <w:b w:val="0"/>
                <w:color w:val="1A1A1A"/>
                <w:sz w:val="17"/>
              </w:rPr>
              <w:t>A:G ratio 0.3–0.8 normal</w:t>
            </w:r>
          </w:p>
        </w:tc>
      </w:tr>
      <w:tr>
        <w:tc>
          <w:tcPr>
            <w:tcW w:type="dxa" w:w="2835"/>
            <w:shd w:val="clear" w:color="auto" w:fill="EAF7EE"/>
          </w:tcPr>
          <w:p>
            <w:r>
              <w:rPr>
                <w:rFonts w:ascii="Calibri" w:hAnsi="Calibri"/>
                <w:b w:val="0"/>
                <w:color w:val="1A1A1A"/>
                <w:sz w:val="17"/>
              </w:rPr>
              <w:t>Globulin</w:t>
            </w:r>
          </w:p>
        </w:tc>
        <w:tc>
          <w:tcPr>
            <w:tcW w:type="dxa" w:w="1984"/>
            <w:shd w:val="clear" w:color="auto" w:fill="EAF7EE"/>
          </w:tcPr>
          <w:p>
            <w:r>
              <w:rPr>
                <w:rFonts w:ascii="Calibri" w:hAnsi="Calibri"/>
                <w:b w:val="0"/>
                <w:color w:val="1A1A1A"/>
                <w:sz w:val="17"/>
              </w:rPr>
              <w:t>3.36 – 6.90</w:t>
            </w:r>
          </w:p>
        </w:tc>
        <w:tc>
          <w:tcPr>
            <w:tcW w:type="dxa" w:w="1417"/>
            <w:shd w:val="clear" w:color="auto" w:fill="EAF7EE"/>
          </w:tcPr>
          <w:p>
            <w:r>
              <w:rPr>
                <w:rFonts w:ascii="Calibri" w:hAnsi="Calibri"/>
                <w:b w:val="0"/>
                <w:color w:val="1A1A1A"/>
                <w:sz w:val="17"/>
              </w:rPr>
              <w:t>g/dL</w:t>
            </w:r>
          </w:p>
        </w:tc>
        <w:tc>
          <w:tcPr>
            <w:tcW w:type="dxa" w:w="3118"/>
            <w:shd w:val="clear" w:color="auto" w:fill="EAF7EE"/>
          </w:tcPr>
          <w:p>
            <w:r>
              <w:rPr>
                <w:rFonts w:ascii="Calibri" w:hAnsi="Calibri"/>
                <w:b w:val="0"/>
                <w:color w:val="1A1A1A"/>
                <w:sz w:val="17"/>
              </w:rPr>
            </w:r>
          </w:p>
        </w:tc>
      </w:tr>
      <w:tr>
        <w:tc>
          <w:tcPr>
            <w:tcW w:type="dxa" w:w="2835"/>
            <w:shd w:val="clear" w:color="auto" w:fill="FFFFFF"/>
          </w:tcPr>
          <w:p>
            <w:r>
              <w:rPr>
                <w:rFonts w:ascii="Calibri" w:hAnsi="Calibri"/>
                <w:b w:val="0"/>
                <w:color w:val="1A1A1A"/>
                <w:sz w:val="17"/>
              </w:rPr>
              <w:t>Total Cholesterol</w:t>
            </w:r>
          </w:p>
        </w:tc>
        <w:tc>
          <w:tcPr>
            <w:tcW w:type="dxa" w:w="1984"/>
            <w:shd w:val="clear" w:color="auto" w:fill="FFFFFF"/>
          </w:tcPr>
          <w:p>
            <w:r>
              <w:rPr>
                <w:rFonts w:ascii="Calibri" w:hAnsi="Calibri"/>
                <w:b w:val="0"/>
                <w:color w:val="1A1A1A"/>
                <w:sz w:val="17"/>
              </w:rPr>
              <w:t>26.96 – 69.39</w:t>
            </w:r>
          </w:p>
        </w:tc>
        <w:tc>
          <w:tcPr>
            <w:tcW w:type="dxa" w:w="1417"/>
            <w:shd w:val="clear" w:color="auto" w:fill="FFFFFF"/>
          </w:tcPr>
          <w:p>
            <w:r>
              <w:rPr>
                <w:rFonts w:ascii="Calibri" w:hAnsi="Calibri"/>
                <w:b w:val="0"/>
                <w:color w:val="1A1A1A"/>
                <w:sz w:val="17"/>
              </w:rPr>
              <w:t>mg/dL</w:t>
            </w:r>
          </w:p>
        </w:tc>
        <w:tc>
          <w:tcPr>
            <w:tcW w:type="dxa" w:w="3118"/>
            <w:shd w:val="clear" w:color="auto" w:fill="FFFFFF"/>
          </w:tcPr>
          <w:p>
            <w:r>
              <w:rPr>
                <w:rFonts w:ascii="Calibri" w:hAnsi="Calibri"/>
                <w:b w:val="0"/>
                <w:color w:val="1A1A1A"/>
                <w:sz w:val="17"/>
              </w:rPr>
              <w:t>Much lower than domestic species</w:t>
            </w:r>
          </w:p>
        </w:tc>
      </w:tr>
      <w:tr>
        <w:tc>
          <w:tcPr>
            <w:tcW w:type="dxa" w:w="2835"/>
            <w:shd w:val="clear" w:color="auto" w:fill="EAF7EE"/>
          </w:tcPr>
          <w:p>
            <w:r>
              <w:rPr>
                <w:rFonts w:ascii="Calibri" w:hAnsi="Calibri"/>
                <w:b w:val="0"/>
                <w:color w:val="1A1A1A"/>
                <w:sz w:val="17"/>
              </w:rPr>
              <w:t>Triglycerides</w:t>
            </w:r>
          </w:p>
        </w:tc>
        <w:tc>
          <w:tcPr>
            <w:tcW w:type="dxa" w:w="1984"/>
            <w:shd w:val="clear" w:color="auto" w:fill="EAF7EE"/>
          </w:tcPr>
          <w:p>
            <w:r>
              <w:rPr>
                <w:rFonts w:ascii="Calibri" w:hAnsi="Calibri"/>
                <w:b w:val="0"/>
                <w:color w:val="1A1A1A"/>
                <w:sz w:val="17"/>
              </w:rPr>
              <w:t>12.55 – 52.47</w:t>
            </w:r>
          </w:p>
        </w:tc>
        <w:tc>
          <w:tcPr>
            <w:tcW w:type="dxa" w:w="1417"/>
            <w:shd w:val="clear" w:color="auto" w:fill="EAF7EE"/>
          </w:tcPr>
          <w:p>
            <w:r>
              <w:rPr>
                <w:rFonts w:ascii="Calibri" w:hAnsi="Calibri"/>
                <w:b w:val="0"/>
                <w:color w:val="1A1A1A"/>
                <w:sz w:val="17"/>
              </w:rPr>
              <w:t>mg/dL</w:t>
            </w:r>
          </w:p>
        </w:tc>
        <w:tc>
          <w:tcPr>
            <w:tcW w:type="dxa" w:w="3118"/>
            <w:shd w:val="clear" w:color="auto" w:fill="EAF7EE"/>
          </w:tcPr>
          <w:p>
            <w:r>
              <w:rPr>
                <w:rFonts w:ascii="Calibri" w:hAnsi="Calibri"/>
                <w:b w:val="0"/>
                <w:color w:val="1A1A1A"/>
                <w:sz w:val="17"/>
              </w:rPr>
            </w:r>
          </w:p>
        </w:tc>
      </w:tr>
    </w:tbl>
    <w:p>
      <w:pPr>
        <w:spacing w:after="40"/>
      </w:pPr>
    </w:p>
    <w:p>
      <w:pPr>
        <w:pStyle w:val="Heading2"/>
        <w:spacing w:before="80" w:after="40"/>
      </w:pPr>
      <w:r>
        <w:t>15.3  Electrolytes &amp; Minerals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15.3  Electrolytes &amp; Minerals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Parameter</w:t>
            </w:r>
          </w:p>
        </w:tc>
        <w:tc>
          <w:tcPr>
            <w:tcW w:type="dxa" w:w="2835"/>
            <w:shd w:val="clear" w:color="auto" w:fill="2D6A4F"/>
          </w:tcPr>
          <w:p>
            <w:pPr>
              <w:jc w:val="center"/>
            </w:pPr>
            <w:r>
              <w:rPr>
                <w:rFonts w:ascii="Calibri" w:hAnsi="Calibri"/>
                <w:b/>
                <w:color w:val="FFFFFF"/>
                <w:sz w:val="17"/>
              </w:rPr>
              <w:t>Reference Interval</w:t>
            </w:r>
          </w:p>
        </w:tc>
        <w:tc>
          <w:tcPr>
            <w:tcW w:type="dxa" w:w="3118"/>
            <w:shd w:val="clear" w:color="auto" w:fill="2D6A4F"/>
          </w:tcPr>
          <w:p>
            <w:pPr>
              <w:jc w:val="center"/>
            </w:pPr>
            <w:r>
              <w:rPr>
                <w:rFonts w:ascii="Calibri" w:hAnsi="Calibri"/>
                <w:b/>
                <w:color w:val="FFFFFF"/>
                <w:sz w:val="17"/>
              </w:rPr>
              <w:t>Units</w:t>
            </w:r>
          </w:p>
        </w:tc>
      </w:tr>
      <w:tr>
        <w:tc>
          <w:tcPr>
            <w:tcW w:type="dxa" w:w="2835"/>
            <w:shd w:val="clear" w:color="auto" w:fill="FFFFFF"/>
          </w:tcPr>
          <w:p>
            <w:r>
              <w:rPr>
                <w:rFonts w:ascii="Calibri" w:hAnsi="Calibri"/>
                <w:b w:val="0"/>
                <w:color w:val="1A1A1A"/>
                <w:sz w:val="17"/>
              </w:rPr>
              <w:t>Calcium (Ca)</w:t>
            </w:r>
          </w:p>
        </w:tc>
        <w:tc>
          <w:tcPr>
            <w:tcW w:type="dxa" w:w="2835"/>
            <w:shd w:val="clear" w:color="auto" w:fill="FFFFFF"/>
          </w:tcPr>
          <w:p>
            <w:r>
              <w:rPr>
                <w:rFonts w:ascii="Calibri" w:hAnsi="Calibri"/>
                <w:b w:val="0"/>
                <w:color w:val="1A1A1A"/>
                <w:sz w:val="17"/>
              </w:rPr>
              <w:t>6.21 – 11.38</w:t>
            </w:r>
          </w:p>
        </w:tc>
        <w:tc>
          <w:tcPr>
            <w:tcW w:type="dxa" w:w="3118"/>
            <w:shd w:val="clear" w:color="auto" w:fill="FFFFFF"/>
          </w:tcPr>
          <w:p>
            <w:r>
              <w:rPr>
                <w:rFonts w:ascii="Calibri" w:hAnsi="Calibri"/>
                <w:b w:val="0"/>
                <w:color w:val="1A1A1A"/>
                <w:sz w:val="17"/>
              </w:rPr>
              <w:t>mg/dL</w:t>
            </w:r>
          </w:p>
        </w:tc>
      </w:tr>
      <w:tr>
        <w:tc>
          <w:tcPr>
            <w:tcW w:type="dxa" w:w="2835"/>
            <w:shd w:val="clear" w:color="auto" w:fill="EAF7EE"/>
          </w:tcPr>
          <w:p>
            <w:r>
              <w:rPr>
                <w:rFonts w:ascii="Calibri" w:hAnsi="Calibri"/>
                <w:b w:val="0"/>
                <w:color w:val="1A1A1A"/>
                <w:sz w:val="17"/>
              </w:rPr>
              <w:t>Phosphorus (P)</w:t>
            </w:r>
          </w:p>
        </w:tc>
        <w:tc>
          <w:tcPr>
            <w:tcW w:type="dxa" w:w="2835"/>
            <w:shd w:val="clear" w:color="auto" w:fill="EAF7EE"/>
          </w:tcPr>
          <w:p>
            <w:r>
              <w:rPr>
                <w:rFonts w:ascii="Calibri" w:hAnsi="Calibri"/>
                <w:b w:val="0"/>
                <w:color w:val="1A1A1A"/>
                <w:sz w:val="17"/>
              </w:rPr>
              <w:t>2.89 – 6.29</w:t>
            </w:r>
          </w:p>
        </w:tc>
        <w:tc>
          <w:tcPr>
            <w:tcW w:type="dxa" w:w="3118"/>
            <w:shd w:val="clear" w:color="auto" w:fill="EAF7EE"/>
          </w:tcPr>
          <w:p>
            <w:r>
              <w:rPr>
                <w:rFonts w:ascii="Calibri" w:hAnsi="Calibri"/>
                <w:b w:val="0"/>
                <w:color w:val="1A1A1A"/>
                <w:sz w:val="17"/>
              </w:rPr>
              <w:t>mg/dL</w:t>
            </w:r>
          </w:p>
        </w:tc>
      </w:tr>
      <w:tr>
        <w:tc>
          <w:tcPr>
            <w:tcW w:type="dxa" w:w="2835"/>
            <w:shd w:val="clear" w:color="auto" w:fill="FFFFFF"/>
          </w:tcPr>
          <w:p>
            <w:r>
              <w:rPr>
                <w:rFonts w:ascii="Calibri" w:hAnsi="Calibri"/>
                <w:b w:val="0"/>
                <w:color w:val="1A1A1A"/>
                <w:sz w:val="17"/>
              </w:rPr>
              <w:t>Sodium (Na)</w:t>
            </w:r>
          </w:p>
        </w:tc>
        <w:tc>
          <w:tcPr>
            <w:tcW w:type="dxa" w:w="2835"/>
            <w:shd w:val="clear" w:color="auto" w:fill="FFFFFF"/>
          </w:tcPr>
          <w:p>
            <w:r>
              <w:rPr>
                <w:rFonts w:ascii="Calibri" w:hAnsi="Calibri"/>
                <w:b w:val="0"/>
                <w:color w:val="1A1A1A"/>
                <w:sz w:val="17"/>
              </w:rPr>
              <w:t>133.94 – 174.77</w:t>
            </w:r>
          </w:p>
        </w:tc>
        <w:tc>
          <w:tcPr>
            <w:tcW w:type="dxa" w:w="3118"/>
            <w:shd w:val="clear" w:color="auto" w:fill="FFFFFF"/>
          </w:tcPr>
          <w:p>
            <w:r>
              <w:rPr>
                <w:rFonts w:ascii="Calibri" w:hAnsi="Calibri"/>
                <w:b w:val="0"/>
                <w:color w:val="1A1A1A"/>
                <w:sz w:val="17"/>
              </w:rPr>
              <w:t>mmol/L</w:t>
            </w:r>
          </w:p>
        </w:tc>
      </w:tr>
      <w:tr>
        <w:tc>
          <w:tcPr>
            <w:tcW w:type="dxa" w:w="2835"/>
            <w:shd w:val="clear" w:color="auto" w:fill="EAF7EE"/>
          </w:tcPr>
          <w:p>
            <w:r>
              <w:rPr>
                <w:rFonts w:ascii="Calibri" w:hAnsi="Calibri"/>
                <w:b w:val="0"/>
                <w:color w:val="1A1A1A"/>
                <w:sz w:val="17"/>
              </w:rPr>
              <w:t>Potassium (K)</w:t>
            </w:r>
          </w:p>
        </w:tc>
        <w:tc>
          <w:tcPr>
            <w:tcW w:type="dxa" w:w="2835"/>
            <w:shd w:val="clear" w:color="auto" w:fill="EAF7EE"/>
          </w:tcPr>
          <w:p>
            <w:r>
              <w:rPr>
                <w:rFonts w:ascii="Calibri" w:hAnsi="Calibri"/>
                <w:b w:val="0"/>
                <w:color w:val="1A1A1A"/>
                <w:sz w:val="17"/>
              </w:rPr>
              <w:t>1.83 – 7.81</w:t>
            </w:r>
          </w:p>
        </w:tc>
        <w:tc>
          <w:tcPr>
            <w:tcW w:type="dxa" w:w="3118"/>
            <w:shd w:val="clear" w:color="auto" w:fill="EAF7EE"/>
          </w:tcPr>
          <w:p>
            <w:r>
              <w:rPr>
                <w:rFonts w:ascii="Calibri" w:hAnsi="Calibri"/>
                <w:b w:val="0"/>
                <w:color w:val="1A1A1A"/>
                <w:sz w:val="17"/>
              </w:rPr>
              <w:t>mmol/L</w:t>
            </w:r>
          </w:p>
        </w:tc>
      </w:tr>
      <w:tr>
        <w:tc>
          <w:tcPr>
            <w:tcW w:type="dxa" w:w="2835"/>
            <w:shd w:val="clear" w:color="auto" w:fill="FFFFFF"/>
          </w:tcPr>
          <w:p>
            <w:r>
              <w:rPr>
                <w:rFonts w:ascii="Calibri" w:hAnsi="Calibri"/>
                <w:b w:val="0"/>
                <w:color w:val="1A1A1A"/>
                <w:sz w:val="17"/>
              </w:rPr>
              <w:t>Chloride (Cl)</w:t>
            </w:r>
          </w:p>
        </w:tc>
        <w:tc>
          <w:tcPr>
            <w:tcW w:type="dxa" w:w="2835"/>
            <w:shd w:val="clear" w:color="auto" w:fill="FFFFFF"/>
          </w:tcPr>
          <w:p>
            <w:r>
              <w:rPr>
                <w:rFonts w:ascii="Calibri" w:hAnsi="Calibri"/>
                <w:b w:val="0"/>
                <w:color w:val="1A1A1A"/>
                <w:sz w:val="17"/>
              </w:rPr>
              <w:t>92.56 – 119.46</w:t>
            </w:r>
          </w:p>
        </w:tc>
        <w:tc>
          <w:tcPr>
            <w:tcW w:type="dxa" w:w="3118"/>
            <w:shd w:val="clear" w:color="auto" w:fill="FFFFFF"/>
          </w:tcPr>
          <w:p>
            <w:r>
              <w:rPr>
                <w:rFonts w:ascii="Calibri" w:hAnsi="Calibri"/>
                <w:b w:val="0"/>
                <w:color w:val="1A1A1A"/>
                <w:sz w:val="17"/>
              </w:rPr>
              <w:t>mmol/L</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NECROPSY BLOOD COLLECTION NOTES:</w:t>
              <w:br/>
              <w:t>• Collect blood BEFORE field cooling or decomposition sets in — biochemistry invalid after death &gt;4 hours</w:t>
              <w:br/>
              <w:t>• Use separate tubes: EDTA (purple) for CBC/PCV/Hb; red top (no anticoagulant) for serum chemistry; fluoride oxalate for glucose</w:t>
              <w:br/>
              <w:t>• Always make a blood film for manual differential — automated analysers misclassify elephant monocytes as lymphocytes</w:t>
              <w:br/>
              <w:t>• EEHV PCR: submit fresh EDTA blood and tissue (heart, liver, spleen) to WII/IVRI for herpesvirus screening in all calf deaths</w:t>
              <w:br/>
              <w:t>• Reference: Frontiers Vet Sci 2025 (PMC12301552) — 92 Indian captive elephants</w:t>
            </w:r>
          </w:p>
        </w:tc>
      </w:tr>
    </w:tbl>
    <w:p>
      <w:pPr>
        <w:spacing w:after="40"/>
      </w:pPr>
    </w:p>
    <w:p/>
    <w:p>
      <w:pPr>
        <w:spacing w:before="0" w:after="0"/>
      </w:pPr>
      <w:r>
        <w:br w:type="page"/>
      </w:r>
    </w:p>
    <w:p>
      <w:pPr>
        <w:pStyle w:val="Heading1"/>
        <w:spacing w:before="160" w:after="40"/>
      </w:pPr>
      <w:r>
        <w:t>16.  Nutritional Requirements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16.  Nutritional Requirements</w:t>
            </w:r>
          </w:p>
        </w:tc>
      </w:tr>
    </w:tbl>
    <w:p>
      <w:pPr>
        <w:spacing w:after="40"/>
      </w:pPr>
    </w:p>
    <w:p>
      <w:pPr>
        <w:pStyle w:val="Heading2"/>
        <w:spacing w:before="80" w:after="40"/>
      </w:pPr>
      <w:r>
        <w:t>16.1  Daily Feed Intake</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16.1  Daily Feed Intake</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118"/>
            <w:shd w:val="clear" w:color="auto" w:fill="2D6A4F"/>
          </w:tcPr>
          <w:p>
            <w:pPr>
              <w:jc w:val="center"/>
            </w:pPr>
            <w:r>
              <w:rPr>
                <w:rFonts w:ascii="Calibri" w:hAnsi="Calibri"/>
                <w:b/>
                <w:color w:val="FFFFFF"/>
                <w:sz w:val="17"/>
              </w:rPr>
              <w:t>Parameter</w:t>
            </w:r>
          </w:p>
        </w:tc>
        <w:tc>
          <w:tcPr>
            <w:tcW w:type="dxa" w:w="2835"/>
            <w:shd w:val="clear" w:color="auto" w:fill="2D6A4F"/>
          </w:tcPr>
          <w:p>
            <w:pPr>
              <w:jc w:val="center"/>
            </w:pPr>
            <w:r>
              <w:rPr>
                <w:rFonts w:ascii="Calibri" w:hAnsi="Calibri"/>
                <w:b/>
                <w:color w:val="FFFFFF"/>
                <w:sz w:val="17"/>
              </w:rPr>
              <w:t>Asian Elephant</w:t>
            </w:r>
          </w:p>
        </w:tc>
        <w:tc>
          <w:tcPr>
            <w:tcW w:type="dxa" w:w="3402"/>
            <w:shd w:val="clear" w:color="auto" w:fill="2D6A4F"/>
          </w:tcPr>
          <w:p>
            <w:pPr>
              <w:jc w:val="center"/>
            </w:pPr>
            <w:r>
              <w:rPr>
                <w:rFonts w:ascii="Calibri" w:hAnsi="Calibri"/>
                <w:b/>
                <w:color w:val="FFFFFF"/>
                <w:sz w:val="17"/>
              </w:rPr>
              <w:t>Notes</w:t>
            </w:r>
          </w:p>
        </w:tc>
      </w:tr>
      <w:tr>
        <w:tc>
          <w:tcPr>
            <w:tcW w:type="dxa" w:w="3118"/>
            <w:shd w:val="clear" w:color="auto" w:fill="FFFFFF"/>
          </w:tcPr>
          <w:p>
            <w:r>
              <w:rPr>
                <w:rFonts w:ascii="Calibri" w:hAnsi="Calibri"/>
                <w:b w:val="0"/>
                <w:color w:val="1A1A1A"/>
                <w:sz w:val="17"/>
              </w:rPr>
              <w:t>Dry matter (DM) intake</w:t>
            </w:r>
          </w:p>
        </w:tc>
        <w:tc>
          <w:tcPr>
            <w:tcW w:type="dxa" w:w="2835"/>
            <w:shd w:val="clear" w:color="auto" w:fill="FFFFFF"/>
          </w:tcPr>
          <w:p>
            <w:r>
              <w:rPr>
                <w:rFonts w:ascii="Calibri" w:hAnsi="Calibri"/>
                <w:b w:val="0"/>
                <w:color w:val="1A1A1A"/>
                <w:sz w:val="17"/>
              </w:rPr>
              <w:t>1.5–1.9% of body weight/day</w:t>
            </w:r>
          </w:p>
        </w:tc>
        <w:tc>
          <w:tcPr>
            <w:tcW w:type="dxa" w:w="3402"/>
            <w:shd w:val="clear" w:color="auto" w:fill="FFFFFF"/>
          </w:tcPr>
          <w:p>
            <w:r>
              <w:rPr>
                <w:rFonts w:ascii="Calibri" w:hAnsi="Calibri"/>
                <w:b w:val="0"/>
                <w:color w:val="1A1A1A"/>
                <w:sz w:val="17"/>
              </w:rPr>
              <w:t>For 3,500 kg bull = ~52–66 kg DM/day</w:t>
            </w:r>
          </w:p>
        </w:tc>
      </w:tr>
      <w:tr>
        <w:tc>
          <w:tcPr>
            <w:tcW w:type="dxa" w:w="3118"/>
            <w:shd w:val="clear" w:color="auto" w:fill="EAF7EE"/>
          </w:tcPr>
          <w:p>
            <w:r>
              <w:rPr>
                <w:rFonts w:ascii="Calibri" w:hAnsi="Calibri"/>
                <w:b w:val="0"/>
                <w:color w:val="1A1A1A"/>
                <w:sz w:val="17"/>
              </w:rPr>
              <w:t>Fresh forage intake</w:t>
            </w:r>
          </w:p>
        </w:tc>
        <w:tc>
          <w:tcPr>
            <w:tcW w:type="dxa" w:w="2835"/>
            <w:shd w:val="clear" w:color="auto" w:fill="EAF7EE"/>
          </w:tcPr>
          <w:p>
            <w:r>
              <w:rPr>
                <w:rFonts w:ascii="Calibri" w:hAnsi="Calibri"/>
                <w:b w:val="0"/>
                <w:color w:val="1A1A1A"/>
                <w:sz w:val="17"/>
              </w:rPr>
              <w:t>4–6% of body weight/day</w:t>
            </w:r>
          </w:p>
        </w:tc>
        <w:tc>
          <w:tcPr>
            <w:tcW w:type="dxa" w:w="3402"/>
            <w:shd w:val="clear" w:color="auto" w:fill="EAF7EE"/>
          </w:tcPr>
          <w:p>
            <w:r>
              <w:rPr>
                <w:rFonts w:ascii="Calibri" w:hAnsi="Calibri"/>
                <w:b w:val="0"/>
                <w:color w:val="1A1A1A"/>
                <w:sz w:val="17"/>
              </w:rPr>
              <w:t>Includes 70–80% water in fresh grass/browse</w:t>
            </w:r>
          </w:p>
        </w:tc>
      </w:tr>
      <w:tr>
        <w:tc>
          <w:tcPr>
            <w:tcW w:type="dxa" w:w="3118"/>
            <w:shd w:val="clear" w:color="auto" w:fill="FFFFFF"/>
          </w:tcPr>
          <w:p>
            <w:r>
              <w:rPr>
                <w:rFonts w:ascii="Calibri" w:hAnsi="Calibri"/>
                <w:b w:val="0"/>
                <w:color w:val="1A1A1A"/>
                <w:sz w:val="17"/>
              </w:rPr>
              <w:t>Digestive efficiency</w:t>
            </w:r>
          </w:p>
        </w:tc>
        <w:tc>
          <w:tcPr>
            <w:tcW w:type="dxa" w:w="2835"/>
            <w:shd w:val="clear" w:color="auto" w:fill="FFFFFF"/>
          </w:tcPr>
          <w:p>
            <w:r>
              <w:rPr>
                <w:rFonts w:ascii="Calibri" w:hAnsi="Calibri"/>
                <w:b w:val="0"/>
                <w:color w:val="1A1A1A"/>
                <w:sz w:val="17"/>
              </w:rPr>
              <w:t>~40%</w:t>
            </w:r>
          </w:p>
        </w:tc>
        <w:tc>
          <w:tcPr>
            <w:tcW w:type="dxa" w:w="3402"/>
            <w:shd w:val="clear" w:color="auto" w:fill="FFFFFF"/>
          </w:tcPr>
          <w:p>
            <w:r>
              <w:rPr>
                <w:rFonts w:ascii="Calibri" w:hAnsi="Calibri"/>
                <w:b w:val="0"/>
                <w:color w:val="1A1A1A"/>
                <w:sz w:val="17"/>
              </w:rPr>
              <w:t>Compensated by very high intake volume</w:t>
            </w:r>
          </w:p>
        </w:tc>
      </w:tr>
      <w:tr>
        <w:tc>
          <w:tcPr>
            <w:tcW w:type="dxa" w:w="3118"/>
            <w:shd w:val="clear" w:color="auto" w:fill="EAF7EE"/>
          </w:tcPr>
          <w:p>
            <w:r>
              <w:rPr>
                <w:rFonts w:ascii="Calibri" w:hAnsi="Calibri"/>
                <w:b w:val="0"/>
                <w:color w:val="1A1A1A"/>
                <w:sz w:val="17"/>
              </w:rPr>
              <w:t>Daily water intake</w:t>
            </w:r>
          </w:p>
        </w:tc>
        <w:tc>
          <w:tcPr>
            <w:tcW w:type="dxa" w:w="2835"/>
            <w:shd w:val="clear" w:color="auto" w:fill="EAF7EE"/>
          </w:tcPr>
          <w:p>
            <w:r>
              <w:rPr>
                <w:rFonts w:ascii="Calibri" w:hAnsi="Calibri"/>
                <w:b w:val="0"/>
                <w:color w:val="1A1A1A"/>
                <w:sz w:val="17"/>
              </w:rPr>
              <w:t>80–200 litres</w:t>
            </w:r>
          </w:p>
        </w:tc>
        <w:tc>
          <w:tcPr>
            <w:tcW w:type="dxa" w:w="3402"/>
            <w:shd w:val="clear" w:color="auto" w:fill="EAF7EE"/>
          </w:tcPr>
          <w:p>
            <w:r>
              <w:rPr>
                <w:rFonts w:ascii="Calibri" w:hAnsi="Calibri"/>
                <w:b w:val="0"/>
                <w:color w:val="1A1A1A"/>
                <w:sz w:val="17"/>
              </w:rPr>
              <w:t>Season and temperature dependent</w:t>
            </w:r>
          </w:p>
        </w:tc>
      </w:tr>
      <w:tr>
        <w:tc>
          <w:tcPr>
            <w:tcW w:type="dxa" w:w="3118"/>
            <w:shd w:val="clear" w:color="auto" w:fill="FFFFFF"/>
          </w:tcPr>
          <w:p>
            <w:r>
              <w:rPr>
                <w:rFonts w:ascii="Calibri" w:hAnsi="Calibri"/>
                <w:b w:val="0"/>
                <w:color w:val="1A1A1A"/>
                <w:sz w:val="17"/>
              </w:rPr>
              <w:t>Daily dung output</w:t>
            </w:r>
          </w:p>
        </w:tc>
        <w:tc>
          <w:tcPr>
            <w:tcW w:type="dxa" w:w="2835"/>
            <w:shd w:val="clear" w:color="auto" w:fill="FFFFFF"/>
          </w:tcPr>
          <w:p>
            <w:r>
              <w:rPr>
                <w:rFonts w:ascii="Calibri" w:hAnsi="Calibri"/>
                <w:b w:val="0"/>
                <w:color w:val="1A1A1A"/>
                <w:sz w:val="17"/>
              </w:rPr>
              <w:t>~120 kg (16–18 boluses)</w:t>
            </w:r>
          </w:p>
        </w:tc>
        <w:tc>
          <w:tcPr>
            <w:tcW w:type="dxa" w:w="3402"/>
            <w:shd w:val="clear" w:color="auto" w:fill="FFFFFF"/>
          </w:tcPr>
          <w:p>
            <w:r>
              <w:rPr>
                <w:rFonts w:ascii="Calibri" w:hAnsi="Calibri"/>
                <w:b w:val="0"/>
                <w:color w:val="1A1A1A"/>
                <w:sz w:val="17"/>
              </w:rPr>
              <w:t>Important ecosystem service — seed dispersal</w:t>
            </w:r>
          </w:p>
        </w:tc>
      </w:tr>
    </w:tbl>
    <w:p>
      <w:pPr>
        <w:spacing w:after="40"/>
      </w:pPr>
    </w:p>
    <w:p>
      <w:pPr>
        <w:pStyle w:val="Heading2"/>
        <w:spacing w:before="80" w:after="40"/>
      </w:pPr>
      <w:r>
        <w:t>16.2  Macronutrient Requirements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16.2  Macronutrient Requirements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3118"/>
            <w:shd w:val="clear" w:color="auto" w:fill="2D6A4F"/>
          </w:tcPr>
          <w:p>
            <w:pPr>
              <w:jc w:val="center"/>
            </w:pPr>
            <w:r>
              <w:rPr>
                <w:rFonts w:ascii="Calibri" w:hAnsi="Calibri"/>
                <w:b/>
                <w:color w:val="FFFFFF"/>
                <w:sz w:val="17"/>
              </w:rPr>
              <w:t>Nutrient</w:t>
            </w:r>
          </w:p>
        </w:tc>
        <w:tc>
          <w:tcPr>
            <w:tcW w:type="dxa" w:w="2551"/>
            <w:shd w:val="clear" w:color="auto" w:fill="2D6A4F"/>
          </w:tcPr>
          <w:p>
            <w:pPr>
              <w:jc w:val="center"/>
            </w:pPr>
            <w:r>
              <w:rPr>
                <w:rFonts w:ascii="Calibri" w:hAnsi="Calibri"/>
                <w:b/>
                <w:color w:val="FFFFFF"/>
                <w:sz w:val="17"/>
              </w:rPr>
              <w:t>Requirement</w:t>
            </w:r>
          </w:p>
        </w:tc>
        <w:tc>
          <w:tcPr>
            <w:tcW w:type="dxa" w:w="3685"/>
            <w:shd w:val="clear" w:color="auto" w:fill="2D6A4F"/>
          </w:tcPr>
          <w:p>
            <w:pPr>
              <w:jc w:val="center"/>
            </w:pPr>
            <w:r>
              <w:rPr>
                <w:rFonts w:ascii="Calibri" w:hAnsi="Calibri"/>
                <w:b/>
                <w:color w:val="FFFFFF"/>
                <w:sz w:val="17"/>
              </w:rPr>
              <w:t>Notes</w:t>
            </w:r>
          </w:p>
        </w:tc>
      </w:tr>
      <w:tr>
        <w:tc>
          <w:tcPr>
            <w:tcW w:type="dxa" w:w="3118"/>
            <w:shd w:val="clear" w:color="auto" w:fill="FFFFFF"/>
          </w:tcPr>
          <w:p>
            <w:r>
              <w:rPr>
                <w:rFonts w:ascii="Calibri" w:hAnsi="Calibri"/>
                <w:b w:val="0"/>
                <w:color w:val="1A1A1A"/>
                <w:sz w:val="17"/>
              </w:rPr>
              <w:t>Crude protein</w:t>
            </w:r>
          </w:p>
        </w:tc>
        <w:tc>
          <w:tcPr>
            <w:tcW w:type="dxa" w:w="2551"/>
            <w:shd w:val="clear" w:color="auto" w:fill="FFFFFF"/>
          </w:tcPr>
          <w:p>
            <w:r>
              <w:rPr>
                <w:rFonts w:ascii="Calibri" w:hAnsi="Calibri"/>
                <w:b w:val="0"/>
                <w:color w:val="1A1A1A"/>
                <w:sz w:val="17"/>
              </w:rPr>
              <w:t>~10% of DM (captive diet)</w:t>
            </w:r>
          </w:p>
        </w:tc>
        <w:tc>
          <w:tcPr>
            <w:tcW w:type="dxa" w:w="3685"/>
            <w:shd w:val="clear" w:color="auto" w:fill="FFFFFF"/>
          </w:tcPr>
          <w:p>
            <w:r>
              <w:rPr>
                <w:rFonts w:ascii="Calibri" w:hAnsi="Calibri"/>
                <w:b w:val="0"/>
                <w:color w:val="1A1A1A"/>
                <w:sz w:val="17"/>
              </w:rPr>
              <w:t>Wild: 6–20% seasonal variation in browse</w:t>
            </w:r>
          </w:p>
        </w:tc>
      </w:tr>
      <w:tr>
        <w:tc>
          <w:tcPr>
            <w:tcW w:type="dxa" w:w="3118"/>
            <w:shd w:val="clear" w:color="auto" w:fill="EAF7EE"/>
          </w:tcPr>
          <w:p>
            <w:r>
              <w:rPr>
                <w:rFonts w:ascii="Calibri" w:hAnsi="Calibri"/>
                <w:b w:val="0"/>
                <w:color w:val="1A1A1A"/>
                <w:sz w:val="17"/>
              </w:rPr>
              <w:t>Digestible protein</w:t>
            </w:r>
          </w:p>
        </w:tc>
        <w:tc>
          <w:tcPr>
            <w:tcW w:type="dxa" w:w="2551"/>
            <w:shd w:val="clear" w:color="auto" w:fill="EAF7EE"/>
          </w:tcPr>
          <w:p>
            <w:r>
              <w:rPr>
                <w:rFonts w:ascii="Calibri" w:hAnsi="Calibri"/>
                <w:b w:val="0"/>
                <w:color w:val="1A1A1A"/>
                <w:sz w:val="17"/>
              </w:rPr>
              <w:t>0.3 g/kg body weight/day</w:t>
            </w:r>
          </w:p>
        </w:tc>
        <w:tc>
          <w:tcPr>
            <w:tcW w:type="dxa" w:w="3685"/>
            <w:shd w:val="clear" w:color="auto" w:fill="EAF7EE"/>
          </w:tcPr>
          <w:p>
            <w:r>
              <w:rPr>
                <w:rFonts w:ascii="Calibri" w:hAnsi="Calibri"/>
                <w:b w:val="0"/>
                <w:color w:val="1A1A1A"/>
                <w:sz w:val="17"/>
              </w:rPr>
              <w:t>3,500 kg elephant → 1,050 g digestible protein/day</w:t>
            </w:r>
          </w:p>
        </w:tc>
      </w:tr>
      <w:tr>
        <w:tc>
          <w:tcPr>
            <w:tcW w:type="dxa" w:w="3118"/>
            <w:shd w:val="clear" w:color="auto" w:fill="FFFFFF"/>
          </w:tcPr>
          <w:p>
            <w:r>
              <w:rPr>
                <w:rFonts w:ascii="Calibri" w:hAnsi="Calibri"/>
                <w:b w:val="0"/>
                <w:color w:val="1A1A1A"/>
                <w:sz w:val="17"/>
              </w:rPr>
              <w:t>Neutral detergent fibre (NDF)</w:t>
            </w:r>
          </w:p>
        </w:tc>
        <w:tc>
          <w:tcPr>
            <w:tcW w:type="dxa" w:w="2551"/>
            <w:shd w:val="clear" w:color="auto" w:fill="FFFFFF"/>
          </w:tcPr>
          <w:p>
            <w:r>
              <w:rPr>
                <w:rFonts w:ascii="Calibri" w:hAnsi="Calibri"/>
                <w:b w:val="0"/>
                <w:color w:val="1A1A1A"/>
                <w:sz w:val="17"/>
              </w:rPr>
              <w:t>~60% of DM</w:t>
            </w:r>
          </w:p>
        </w:tc>
        <w:tc>
          <w:tcPr>
            <w:tcW w:type="dxa" w:w="3685"/>
            <w:shd w:val="clear" w:color="auto" w:fill="FFFFFF"/>
          </w:tcPr>
          <w:p>
            <w:r>
              <w:rPr>
                <w:rFonts w:ascii="Calibri" w:hAnsi="Calibri"/>
                <w:b w:val="0"/>
                <w:color w:val="1A1A1A"/>
                <w:sz w:val="17"/>
              </w:rPr>
              <w:t>High fibre essential for healthy hindgut fermentation</w:t>
            </w:r>
          </w:p>
        </w:tc>
      </w:tr>
      <w:tr>
        <w:tc>
          <w:tcPr>
            <w:tcW w:type="dxa" w:w="3118"/>
            <w:shd w:val="clear" w:color="auto" w:fill="EAF7EE"/>
          </w:tcPr>
          <w:p>
            <w:r>
              <w:rPr>
                <w:rFonts w:ascii="Calibri" w:hAnsi="Calibri"/>
                <w:b w:val="0"/>
                <w:color w:val="1A1A1A"/>
                <w:sz w:val="17"/>
              </w:rPr>
              <w:t>Acid detergent fibre (ADF)</w:t>
            </w:r>
          </w:p>
        </w:tc>
        <w:tc>
          <w:tcPr>
            <w:tcW w:type="dxa" w:w="2551"/>
            <w:shd w:val="clear" w:color="auto" w:fill="EAF7EE"/>
          </w:tcPr>
          <w:p>
            <w:r>
              <w:rPr>
                <w:rFonts w:ascii="Calibri" w:hAnsi="Calibri"/>
                <w:b w:val="0"/>
                <w:color w:val="1A1A1A"/>
                <w:sz w:val="17"/>
              </w:rPr>
              <w:t>~40% of DM</w:t>
            </w:r>
          </w:p>
        </w:tc>
        <w:tc>
          <w:tcPr>
            <w:tcW w:type="dxa" w:w="3685"/>
            <w:shd w:val="clear" w:color="auto" w:fill="EAF7EE"/>
          </w:tcPr>
          <w:p>
            <w:r>
              <w:rPr>
                <w:rFonts w:ascii="Calibri" w:hAnsi="Calibri"/>
                <w:b w:val="0"/>
                <w:color w:val="1A1A1A"/>
                <w:sz w:val="17"/>
              </w:rPr>
              <w:t>Reflects cellulose + lignin content</w:t>
            </w:r>
          </w:p>
        </w:tc>
      </w:tr>
      <w:tr>
        <w:tc>
          <w:tcPr>
            <w:tcW w:type="dxa" w:w="3118"/>
            <w:shd w:val="clear" w:color="auto" w:fill="FFFFFF"/>
          </w:tcPr>
          <w:p>
            <w:r>
              <w:rPr>
                <w:rFonts w:ascii="Calibri" w:hAnsi="Calibri"/>
                <w:b w:val="0"/>
                <w:color w:val="1A1A1A"/>
                <w:sz w:val="17"/>
              </w:rPr>
              <w:t>Excess protein warning</w:t>
            </w:r>
          </w:p>
        </w:tc>
        <w:tc>
          <w:tcPr>
            <w:tcW w:type="dxa" w:w="2551"/>
            <w:shd w:val="clear" w:color="auto" w:fill="FFFFFF"/>
          </w:tcPr>
          <w:p>
            <w:r>
              <w:rPr>
                <w:rFonts w:ascii="Calibri" w:hAnsi="Calibri"/>
                <w:b w:val="0"/>
                <w:color w:val="1A1A1A"/>
                <w:sz w:val="17"/>
              </w:rPr>
              <w:t>Avoid &gt;15% crude protein</w:t>
            </w:r>
          </w:p>
        </w:tc>
        <w:tc>
          <w:tcPr>
            <w:tcW w:type="dxa" w:w="3685"/>
            <w:shd w:val="clear" w:color="auto" w:fill="FFFFFF"/>
          </w:tcPr>
          <w:p>
            <w:r>
              <w:rPr>
                <w:rFonts w:ascii="Calibri" w:hAnsi="Calibri"/>
                <w:b w:val="0"/>
                <w:color w:val="1A1A1A"/>
                <w:sz w:val="17"/>
              </w:rPr>
              <w:t>Nitrogen excretion requires high water; excess may stress kidneys</w:t>
            </w:r>
          </w:p>
        </w:tc>
      </w:tr>
    </w:tbl>
    <w:p>
      <w:pPr>
        <w:spacing w:after="40"/>
      </w:pPr>
    </w:p>
    <w:p>
      <w:pPr>
        <w:pStyle w:val="Heading2"/>
        <w:spacing w:before="80" w:after="40"/>
      </w:pPr>
      <w:r>
        <w:t>16.3  Mineral Requirements (Forage DM Basis)</w:t>
      </w:r>
    </w:p>
    <w:tbl>
      <w:tblPr>
        <w:tblStyle w:val="TableGrid"/>
        <w:tblW w:type="auto" w:w="0"/>
        <w:tblLook w:firstColumn="1" w:firstRow="1" w:lastColumn="0" w:lastRow="0" w:noHBand="0" w:noVBand="1" w:val="04A0"/>
      </w:tblPr>
      <w:tblGrid>
        <w:gridCol w:w="9638"/>
      </w:tblGrid>
      <w:tr>
        <w:tc>
          <w:tcPr>
            <w:tcW w:type="dxa" w:w="9638"/>
            <w:shd w:val="clear" w:color="auto" w:fill="2D6A4F"/>
          </w:tcPr>
          <w:p>
            <w:pPr>
              <w:spacing w:before="60" w:after="60"/>
            </w:pPr>
            <w:r>
              <w:rPr>
                <w:rFonts w:ascii="Calibri" w:hAnsi="Calibri"/>
                <w:b/>
                <w:color w:val="FFFFFF"/>
                <w:sz w:val="22"/>
              </w:rPr>
              <w:t>16.3  Mineral Requirements (Forage DM Basis)</w:t>
            </w:r>
          </w:p>
        </w:tc>
      </w:tr>
    </w:tbl>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2835"/>
            <w:shd w:val="clear" w:color="auto" w:fill="2D6A4F"/>
          </w:tcPr>
          <w:p>
            <w:pPr>
              <w:jc w:val="center"/>
            </w:pPr>
            <w:r>
              <w:rPr>
                <w:rFonts w:ascii="Calibri" w:hAnsi="Calibri"/>
                <w:b/>
                <w:color w:val="FFFFFF"/>
                <w:sz w:val="17"/>
              </w:rPr>
              <w:t>Mineral</w:t>
            </w:r>
          </w:p>
        </w:tc>
        <w:tc>
          <w:tcPr>
            <w:tcW w:type="dxa" w:w="2268"/>
            <w:shd w:val="clear" w:color="auto" w:fill="2D6A4F"/>
          </w:tcPr>
          <w:p>
            <w:pPr>
              <w:jc w:val="center"/>
            </w:pPr>
            <w:r>
              <w:rPr>
                <w:rFonts w:ascii="Calibri" w:hAnsi="Calibri"/>
                <w:b/>
                <w:color w:val="FFFFFF"/>
                <w:sz w:val="17"/>
              </w:rPr>
              <w:t>Required Concentration</w:t>
            </w:r>
          </w:p>
        </w:tc>
        <w:tc>
          <w:tcPr>
            <w:tcW w:type="dxa" w:w="4252"/>
            <w:shd w:val="clear" w:color="auto" w:fill="2D6A4F"/>
          </w:tcPr>
          <w:p>
            <w:pPr>
              <w:jc w:val="center"/>
            </w:pPr>
            <w:r>
              <w:rPr>
                <w:rFonts w:ascii="Calibri" w:hAnsi="Calibri"/>
                <w:b/>
                <w:color w:val="FFFFFF"/>
                <w:sz w:val="17"/>
              </w:rPr>
              <w:t>Daily Ca or Notes</w:t>
            </w:r>
          </w:p>
        </w:tc>
      </w:tr>
      <w:tr>
        <w:tc>
          <w:tcPr>
            <w:tcW w:type="dxa" w:w="2835"/>
            <w:shd w:val="clear" w:color="auto" w:fill="FFFFFF"/>
          </w:tcPr>
          <w:p>
            <w:r>
              <w:rPr>
                <w:rFonts w:ascii="Calibri" w:hAnsi="Calibri"/>
                <w:b w:val="0"/>
                <w:color w:val="1A1A1A"/>
                <w:sz w:val="17"/>
              </w:rPr>
              <w:t>Calcium (Ca)</w:t>
            </w:r>
          </w:p>
        </w:tc>
        <w:tc>
          <w:tcPr>
            <w:tcW w:type="dxa" w:w="2268"/>
            <w:shd w:val="clear" w:color="auto" w:fill="FFFFFF"/>
          </w:tcPr>
          <w:p>
            <w:r>
              <w:rPr>
                <w:rFonts w:ascii="Calibri" w:hAnsi="Calibri"/>
                <w:b w:val="0"/>
                <w:color w:val="1A1A1A"/>
                <w:sz w:val="17"/>
              </w:rPr>
              <w:t>Adequate Ca:P ratio essential</w:t>
            </w:r>
          </w:p>
        </w:tc>
        <w:tc>
          <w:tcPr>
            <w:tcW w:type="dxa" w:w="4252"/>
            <w:shd w:val="clear" w:color="auto" w:fill="FFFFFF"/>
          </w:tcPr>
          <w:p>
            <w:r>
              <w:rPr>
                <w:rFonts w:ascii="Calibri" w:hAnsi="Calibri"/>
                <w:b w:val="0"/>
                <w:color w:val="1A1A1A"/>
                <w:sz w:val="17"/>
              </w:rPr>
              <w:t>~60 g/day for adult maintenance; +8–9 g/day for tusk growth</w:t>
            </w:r>
          </w:p>
        </w:tc>
      </w:tr>
      <w:tr>
        <w:tc>
          <w:tcPr>
            <w:tcW w:type="dxa" w:w="2835"/>
            <w:shd w:val="clear" w:color="auto" w:fill="EAF7EE"/>
          </w:tcPr>
          <w:p>
            <w:r>
              <w:rPr>
                <w:rFonts w:ascii="Calibri" w:hAnsi="Calibri"/>
                <w:b w:val="0"/>
                <w:color w:val="1A1A1A"/>
                <w:sz w:val="17"/>
              </w:rPr>
              <w:t>Phosphorus (P)</w:t>
            </w:r>
          </w:p>
        </w:tc>
        <w:tc>
          <w:tcPr>
            <w:tcW w:type="dxa" w:w="2268"/>
            <w:shd w:val="clear" w:color="auto" w:fill="EAF7EE"/>
          </w:tcPr>
          <w:p>
            <w:r>
              <w:rPr>
                <w:rFonts w:ascii="Calibri" w:hAnsi="Calibri"/>
                <w:b w:val="0"/>
                <w:color w:val="1A1A1A"/>
                <w:sz w:val="17"/>
              </w:rPr>
              <w:t>0.2% of DM</w:t>
            </w:r>
          </w:p>
        </w:tc>
        <w:tc>
          <w:tcPr>
            <w:tcW w:type="dxa" w:w="4252"/>
            <w:shd w:val="clear" w:color="auto" w:fill="EAF7EE"/>
          </w:tcPr>
          <w:p>
            <w:r>
              <w:rPr>
                <w:rFonts w:ascii="Calibri" w:hAnsi="Calibri"/>
                <w:b w:val="0"/>
                <w:color w:val="1A1A1A"/>
                <w:sz w:val="17"/>
              </w:rPr>
              <w:t>49–35 mg/kg body weight/day (zoo data)</w:t>
            </w:r>
          </w:p>
        </w:tc>
      </w:tr>
      <w:tr>
        <w:tc>
          <w:tcPr>
            <w:tcW w:type="dxa" w:w="2835"/>
            <w:shd w:val="clear" w:color="auto" w:fill="FFFFFF"/>
          </w:tcPr>
          <w:p>
            <w:r>
              <w:rPr>
                <w:rFonts w:ascii="Calibri" w:hAnsi="Calibri"/>
                <w:b w:val="0"/>
                <w:color w:val="1A1A1A"/>
                <w:sz w:val="17"/>
              </w:rPr>
              <w:t>Sodium (Na) + Magnesium (Mg)</w:t>
            </w:r>
          </w:p>
        </w:tc>
        <w:tc>
          <w:tcPr>
            <w:tcW w:type="dxa" w:w="2268"/>
            <w:shd w:val="clear" w:color="auto" w:fill="FFFFFF"/>
          </w:tcPr>
          <w:p>
            <w:r>
              <w:rPr>
                <w:rFonts w:ascii="Calibri" w:hAnsi="Calibri"/>
                <w:b w:val="0"/>
                <w:color w:val="1A1A1A"/>
                <w:sz w:val="17"/>
              </w:rPr>
              <w:t>0.1% each</w:t>
            </w:r>
          </w:p>
        </w:tc>
        <w:tc>
          <w:tcPr>
            <w:tcW w:type="dxa" w:w="4252"/>
            <w:shd w:val="clear" w:color="auto" w:fill="FFFFFF"/>
          </w:tcPr>
          <w:p>
            <w:r>
              <w:rPr>
                <w:rFonts w:ascii="Calibri" w:hAnsi="Calibri"/>
                <w:b w:val="0"/>
                <w:color w:val="1A1A1A"/>
                <w:sz w:val="17"/>
              </w:rPr>
              <w:t>Geophagy at mineral licks supplements seasonal deficit</w:t>
            </w:r>
          </w:p>
        </w:tc>
      </w:tr>
      <w:tr>
        <w:tc>
          <w:tcPr>
            <w:tcW w:type="dxa" w:w="2835"/>
            <w:shd w:val="clear" w:color="auto" w:fill="EAF7EE"/>
          </w:tcPr>
          <w:p>
            <w:r>
              <w:rPr>
                <w:rFonts w:ascii="Calibri" w:hAnsi="Calibri"/>
                <w:b w:val="0"/>
                <w:color w:val="1A1A1A"/>
                <w:sz w:val="17"/>
              </w:rPr>
              <w:t>Sulphur (S)</w:t>
            </w:r>
          </w:p>
        </w:tc>
        <w:tc>
          <w:tcPr>
            <w:tcW w:type="dxa" w:w="2268"/>
            <w:shd w:val="clear" w:color="auto" w:fill="EAF7EE"/>
          </w:tcPr>
          <w:p>
            <w:r>
              <w:rPr>
                <w:rFonts w:ascii="Calibri" w:hAnsi="Calibri"/>
                <w:b w:val="0"/>
                <w:color w:val="1A1A1A"/>
                <w:sz w:val="17"/>
              </w:rPr>
              <w:t>0.15% of DM</w:t>
            </w:r>
          </w:p>
        </w:tc>
        <w:tc>
          <w:tcPr>
            <w:tcW w:type="dxa" w:w="4252"/>
            <w:shd w:val="clear" w:color="auto" w:fill="EAF7EE"/>
          </w:tcPr>
          <w:p>
            <w:r>
              <w:rPr>
                <w:rFonts w:ascii="Calibri" w:hAnsi="Calibri"/>
                <w:b w:val="0"/>
                <w:color w:val="1A1A1A"/>
                <w:sz w:val="17"/>
              </w:rPr>
            </w:r>
          </w:p>
        </w:tc>
      </w:tr>
      <w:tr>
        <w:tc>
          <w:tcPr>
            <w:tcW w:type="dxa" w:w="2835"/>
            <w:shd w:val="clear" w:color="auto" w:fill="FFFFFF"/>
          </w:tcPr>
          <w:p>
            <w:r>
              <w:rPr>
                <w:rFonts w:ascii="Calibri" w:hAnsi="Calibri"/>
                <w:b w:val="0"/>
                <w:color w:val="1A1A1A"/>
                <w:sz w:val="17"/>
              </w:rPr>
              <w:t>Copper (Cu)</w:t>
            </w:r>
          </w:p>
        </w:tc>
        <w:tc>
          <w:tcPr>
            <w:tcW w:type="dxa" w:w="2268"/>
            <w:shd w:val="clear" w:color="auto" w:fill="FFFFFF"/>
          </w:tcPr>
          <w:p>
            <w:r>
              <w:rPr>
                <w:rFonts w:ascii="Calibri" w:hAnsi="Calibri"/>
                <w:b w:val="0"/>
                <w:color w:val="1A1A1A"/>
                <w:sz w:val="17"/>
              </w:rPr>
              <w:t>10 mg/kg DM</w:t>
            </w:r>
          </w:p>
        </w:tc>
        <w:tc>
          <w:tcPr>
            <w:tcW w:type="dxa" w:w="4252"/>
            <w:shd w:val="clear" w:color="auto" w:fill="FFFFFF"/>
          </w:tcPr>
          <w:p>
            <w:r>
              <w:rPr>
                <w:rFonts w:ascii="Calibri" w:hAnsi="Calibri"/>
                <w:b w:val="0"/>
                <w:color w:val="1A1A1A"/>
                <w:sz w:val="17"/>
              </w:rPr>
            </w:r>
          </w:p>
        </w:tc>
      </w:tr>
      <w:tr>
        <w:tc>
          <w:tcPr>
            <w:tcW w:type="dxa" w:w="2835"/>
            <w:shd w:val="clear" w:color="auto" w:fill="EAF7EE"/>
          </w:tcPr>
          <w:p>
            <w:r>
              <w:rPr>
                <w:rFonts w:ascii="Calibri" w:hAnsi="Calibri"/>
                <w:b w:val="0"/>
                <w:color w:val="1A1A1A"/>
                <w:sz w:val="17"/>
              </w:rPr>
              <w:t>Zinc (Zn) + Manganese (Mn)</w:t>
            </w:r>
          </w:p>
        </w:tc>
        <w:tc>
          <w:tcPr>
            <w:tcW w:type="dxa" w:w="2268"/>
            <w:shd w:val="clear" w:color="auto" w:fill="EAF7EE"/>
          </w:tcPr>
          <w:p>
            <w:r>
              <w:rPr>
                <w:rFonts w:ascii="Calibri" w:hAnsi="Calibri"/>
                <w:b w:val="0"/>
                <w:color w:val="1A1A1A"/>
                <w:sz w:val="17"/>
              </w:rPr>
              <w:t>40 mg/kg DM each</w:t>
            </w:r>
          </w:p>
        </w:tc>
        <w:tc>
          <w:tcPr>
            <w:tcW w:type="dxa" w:w="4252"/>
            <w:shd w:val="clear" w:color="auto" w:fill="EAF7EE"/>
          </w:tcPr>
          <w:p>
            <w:r>
              <w:rPr>
                <w:rFonts w:ascii="Calibri" w:hAnsi="Calibri"/>
                <w:b w:val="0"/>
                <w:color w:val="1A1A1A"/>
                <w:sz w:val="17"/>
              </w:rPr>
            </w:r>
          </w:p>
        </w:tc>
      </w:tr>
      <w:tr>
        <w:tc>
          <w:tcPr>
            <w:tcW w:type="dxa" w:w="2835"/>
            <w:shd w:val="clear" w:color="auto" w:fill="FFFFFF"/>
          </w:tcPr>
          <w:p>
            <w:r>
              <w:rPr>
                <w:rFonts w:ascii="Calibri" w:hAnsi="Calibri"/>
                <w:b w:val="0"/>
                <w:color w:val="1A1A1A"/>
                <w:sz w:val="17"/>
              </w:rPr>
              <w:t>Iron (Fe)</w:t>
            </w:r>
          </w:p>
        </w:tc>
        <w:tc>
          <w:tcPr>
            <w:tcW w:type="dxa" w:w="2268"/>
            <w:shd w:val="clear" w:color="auto" w:fill="FFFFFF"/>
          </w:tcPr>
          <w:p>
            <w:r>
              <w:rPr>
                <w:rFonts w:ascii="Calibri" w:hAnsi="Calibri"/>
                <w:b w:val="0"/>
                <w:color w:val="1A1A1A"/>
                <w:sz w:val="17"/>
              </w:rPr>
              <w:t>50 mg/kg DM</w:t>
            </w:r>
          </w:p>
        </w:tc>
        <w:tc>
          <w:tcPr>
            <w:tcW w:type="dxa" w:w="4252"/>
            <w:shd w:val="clear" w:color="auto" w:fill="FFFFFF"/>
          </w:tcPr>
          <w:p>
            <w:r>
              <w:rPr>
                <w:rFonts w:ascii="Calibri" w:hAnsi="Calibri"/>
                <w:b w:val="0"/>
                <w:color w:val="1A1A1A"/>
                <w:sz w:val="17"/>
              </w:rPr>
            </w:r>
          </w:p>
        </w:tc>
      </w:tr>
      <w:tr>
        <w:tc>
          <w:tcPr>
            <w:tcW w:type="dxa" w:w="2835"/>
            <w:shd w:val="clear" w:color="auto" w:fill="EAF7EE"/>
          </w:tcPr>
          <w:p>
            <w:r>
              <w:rPr>
                <w:rFonts w:ascii="Calibri" w:hAnsi="Calibri"/>
                <w:b w:val="0"/>
                <w:color w:val="1A1A1A"/>
                <w:sz w:val="17"/>
              </w:rPr>
              <w:t>Selenium (Se), Iodine (I), Cobalt (Co)</w:t>
            </w:r>
          </w:p>
        </w:tc>
        <w:tc>
          <w:tcPr>
            <w:tcW w:type="dxa" w:w="2268"/>
            <w:shd w:val="clear" w:color="auto" w:fill="EAF7EE"/>
          </w:tcPr>
          <w:p>
            <w:r>
              <w:rPr>
                <w:rFonts w:ascii="Calibri" w:hAnsi="Calibri"/>
                <w:b w:val="0"/>
                <w:color w:val="1A1A1A"/>
                <w:sz w:val="17"/>
              </w:rPr>
              <w:t>0.1 mg/kg DM each</w:t>
            </w:r>
          </w:p>
        </w:tc>
        <w:tc>
          <w:tcPr>
            <w:tcW w:type="dxa" w:w="4252"/>
            <w:shd w:val="clear" w:color="auto" w:fill="EAF7EE"/>
          </w:tcPr>
          <w:p>
            <w:r>
              <w:rPr>
                <w:rFonts w:ascii="Calibri" w:hAnsi="Calibri"/>
                <w:b w:val="0"/>
                <w:color w:val="1A1A1A"/>
                <w:sz w:val="17"/>
              </w:rPr>
              <w:t>Trace; deficiency causes reproductive and immune issues</w:t>
            </w:r>
          </w:p>
        </w:tc>
      </w:tr>
    </w:tbl>
    <w:p>
      <w:pPr>
        <w:spacing w:after="40"/>
      </w:pPr>
    </w:p>
    <w:p>
      <w:pPr>
        <w:spacing w:after="40"/>
        <w:ind w:left="283" w:hanging="170"/>
      </w:pPr>
      <w:r>
        <w:rPr>
          <w:rFonts w:ascii="Calibri" w:hAnsi="Calibri"/>
          <w:color w:val="1A1A1A"/>
          <w:sz w:val="19"/>
        </w:rPr>
        <w:t>•  Geophagy (mineral lick soil-eating): naturally supplements Na, Ca, P during dry season; females show greater use during pregnancy and lactation</w:t>
      </w:r>
    </w:p>
    <w:p>
      <w:pPr>
        <w:spacing w:after="40"/>
        <w:ind w:left="283" w:hanging="170"/>
      </w:pPr>
      <w:r>
        <w:rPr>
          <w:rFonts w:ascii="Calibri" w:hAnsi="Calibri"/>
          <w:color w:val="1A1A1A"/>
          <w:sz w:val="19"/>
        </w:rPr>
        <w:t>•  Calcium:Phosphorus ratio is critical — inverted Ca:P ratio causes metabolic bone disease and poor tusk development in captive elephants</w:t>
      </w:r>
    </w:p>
    <w:tbl>
      <w:tblPr>
        <w:tblStyle w:val="TableGrid"/>
        <w:tblW w:type="auto" w:w="0"/>
        <w:tblLook w:firstColumn="1" w:firstRow="1" w:lastColumn="0" w:lastRow="0" w:noHBand="0" w:noVBand="1" w:val="04A0"/>
      </w:tblPr>
      <w:tblGrid>
        <w:gridCol w:w="9638"/>
      </w:tblGrid>
      <w:tr>
        <w:tc>
          <w:tcPr>
            <w:tcW w:type="dxa" w:w="9638"/>
            <w:shd w:val="clear" w:color="auto" w:fill="D8F3DC"/>
          </w:tcPr>
          <w:p>
            <w:pPr>
              <w:spacing w:before="100" w:after="100"/>
            </w:pPr>
            <w:r>
              <w:rPr>
                <w:rFonts w:ascii="Calibri" w:hAnsi="Calibri"/>
                <w:b/>
                <w:color w:val="1B4332"/>
                <w:sz w:val="18"/>
              </w:rPr>
              <w:t>CAPTIVE MANAGEMENT NOTE: Poor nutrition in captivity — inadequate fibre, incorrect Ca:P ratio, vitamin D deficiency — contributes to foot problems, metabolic bone disease, poor reproductive performance, and reduced lifespan. Wild diet supplementation should target 10% CP, 60% NDF, correct mineral ratios.</w:t>
            </w:r>
          </w:p>
        </w:tc>
      </w:tr>
    </w:tbl>
    <w:p>
      <w:pPr>
        <w:spacing w:after="40"/>
      </w:pPr>
    </w:p>
    <w:p/>
    <w:p>
      <w:pPr>
        <w:pStyle w:val="Heading1"/>
        <w:spacing w:before="160" w:after="40"/>
      </w:pPr>
      <w:r>
        <w:t>17.  References &amp; Sources</w:t>
      </w:r>
    </w:p>
    <w:tbl>
      <w:tblPr>
        <w:tblStyle w:val="TableGrid"/>
        <w:tblW w:type="auto" w:w="0"/>
        <w:tblLook w:firstColumn="1" w:firstRow="1" w:lastColumn="0" w:lastRow="0" w:noHBand="0" w:noVBand="1" w:val="04A0"/>
      </w:tblPr>
      <w:tblGrid>
        <w:gridCol w:w="9638"/>
      </w:tblGrid>
      <w:tr>
        <w:tc>
          <w:tcPr>
            <w:tcW w:type="dxa" w:w="9638"/>
            <w:shd w:val="clear" w:color="auto" w:fill="1B4332"/>
          </w:tcPr>
          <w:p>
            <w:pPr>
              <w:spacing w:before="140" w:after="140"/>
            </w:pPr>
            <w:r>
              <w:rPr>
                <w:rFonts w:ascii="Calibri" w:hAnsi="Calibri"/>
                <w:b/>
                <w:color w:val="FFFFFF"/>
                <w:sz w:val="28"/>
              </w:rPr>
              <w:t>17.  References &amp; Sources</w:t>
            </w:r>
          </w:p>
        </w:tc>
      </w:tr>
    </w:tbl>
    <w:p>
      <w:pPr>
        <w:spacing w:after="40"/>
      </w:pPr>
    </w:p>
    <w:p>
      <w:pPr>
        <w:spacing w:after="40"/>
        <w:ind w:left="283" w:hanging="170"/>
      </w:pPr>
      <w:r>
        <w:rPr>
          <w:rFonts w:ascii="Calibri" w:hAnsi="Calibri"/>
          <w:color w:val="1A1A1A"/>
          <w:sz w:val="19"/>
        </w:rPr>
        <w:t>•  Nigam P. (2026). Biological and Anatomical Aspects of Elephants [PPT]. Training Program: Essentials for Mortality Investigation of Asian Elephant. WII, Dehradun.</w:t>
      </w:r>
    </w:p>
    <w:p>
      <w:pPr>
        <w:spacing w:after="40"/>
        <w:ind w:left="283" w:hanging="170"/>
      </w:pPr>
      <w:r>
        <w:rPr>
          <w:rFonts w:ascii="Calibri" w:hAnsi="Calibri"/>
          <w:color w:val="1A1A1A"/>
          <w:sz w:val="19"/>
        </w:rPr>
        <w:t>•  Shoshani J &amp; Tassy P (1996). The Proboscidea: Evolution and Palaeoecology of Elephants and Their Relatives. Oxford University Press.</w:t>
      </w:r>
    </w:p>
    <w:p>
      <w:pPr>
        <w:spacing w:after="40"/>
        <w:ind w:left="283" w:hanging="170"/>
      </w:pPr>
      <w:r>
        <w:rPr>
          <w:rFonts w:ascii="Calibri" w:hAnsi="Calibri"/>
          <w:color w:val="1A1A1A"/>
          <w:sz w:val="19"/>
        </w:rPr>
        <w:t>•  Sukumar R (2003). The Living Elephants: Evolutionary Ecology, Behaviour, and Conservation. Oxford University Press.</w:t>
      </w:r>
    </w:p>
    <w:p>
      <w:pPr>
        <w:spacing w:after="40"/>
        <w:ind w:left="283" w:hanging="170"/>
      </w:pPr>
      <w:r>
        <w:rPr>
          <w:rFonts w:ascii="Calibri" w:hAnsi="Calibri"/>
          <w:color w:val="1A1A1A"/>
          <w:sz w:val="19"/>
        </w:rPr>
        <w:t>•  IUCN SSC Asian Elephant Specialist Group (2020). Elephas maximus. IUCN Red List of Threatened Species.</w:t>
      </w:r>
    </w:p>
    <w:p>
      <w:pPr>
        <w:spacing w:after="40"/>
        <w:ind w:left="283" w:hanging="170"/>
      </w:pPr>
      <w:r>
        <w:rPr>
          <w:rFonts w:ascii="Calibri" w:hAnsi="Calibri"/>
          <w:color w:val="1A1A1A"/>
          <w:sz w:val="19"/>
        </w:rPr>
        <w:t>•  Herring SM et al. (2021). Elephants evolved strategies reducing the biomechanical complexity of their trunk. Current Biology.</w:t>
      </w:r>
    </w:p>
    <w:p>
      <w:pPr>
        <w:spacing w:after="40"/>
        <w:ind w:left="283" w:hanging="170"/>
      </w:pPr>
      <w:r>
        <w:rPr>
          <w:rFonts w:ascii="Calibri" w:hAnsi="Calibri"/>
          <w:color w:val="1A1A1A"/>
          <w:sz w:val="19"/>
        </w:rPr>
        <w:t>•  Loo AHB et al. (2024). Sexual Dimorphism in Skeletal Morphology of Asian Elephants. PMC12383435.</w:t>
      </w:r>
    </w:p>
    <w:p>
      <w:pPr>
        <w:spacing w:after="40"/>
        <w:ind w:left="283" w:hanging="170"/>
      </w:pPr>
      <w:r>
        <w:rPr>
          <w:rFonts w:ascii="Calibri" w:hAnsi="Calibri"/>
          <w:color w:val="1A1A1A"/>
          <w:sz w:val="19"/>
        </w:rPr>
        <w:t>•  Herculano-Houzel S et al. (2014). The elephant brain in numbers. Frontiers in Neuroanatomy. PMC4053853.</w:t>
      </w:r>
    </w:p>
    <w:p>
      <w:pPr>
        <w:spacing w:after="40"/>
        <w:ind w:left="283" w:hanging="170"/>
      </w:pPr>
      <w:r>
        <w:rPr>
          <w:rFonts w:ascii="Calibri" w:hAnsi="Calibri"/>
          <w:color w:val="1A1A1A"/>
          <w:sz w:val="19"/>
        </w:rPr>
        <w:t>•  Wittemyer G &amp; Klingel H (2016). Temporal gland secretion in African elephants. Mammalian Biology.</w:t>
      </w:r>
    </w:p>
    <w:p>
      <w:pPr>
        <w:spacing w:after="40"/>
        <w:ind w:left="283" w:hanging="170"/>
      </w:pPr>
      <w:r>
        <w:rPr>
          <w:rFonts w:ascii="Calibri" w:hAnsi="Calibri"/>
          <w:color w:val="1A1A1A"/>
          <w:sz w:val="19"/>
        </w:rPr>
        <w:t>•  CITES Ivory Identification Guide: cites.org/eng/resources/pub/E-Ivory-guide.pdf</w:t>
      </w:r>
    </w:p>
    <w:p>
      <w:pPr>
        <w:spacing w:after="40"/>
        <w:ind w:left="283" w:hanging="170"/>
      </w:pPr>
      <w:r>
        <w:rPr>
          <w:rFonts w:ascii="Calibri" w:hAnsi="Calibri"/>
          <w:color w:val="1A1A1A"/>
          <w:sz w:val="19"/>
        </w:rPr>
        <w:t>•  Sreetharan M et al. (2016). Body weight formulation in Asian elephant. ResearchGate 299053386.</w:t>
      </w:r>
    </w:p>
    <w:p>
      <w:pPr>
        <w:spacing w:after="40"/>
        <w:ind w:left="283" w:hanging="170"/>
      </w:pPr>
      <w:r>
        <w:rPr>
          <w:rFonts w:ascii="Calibri" w:hAnsi="Calibri"/>
          <w:color w:val="1A1A1A"/>
          <w:sz w:val="19"/>
        </w:rPr>
        <w:t>•  West JB (2001). The elephant's respiratory system: Adaptations to gravitational stress. ResearchGate 13921092.</w:t>
      </w:r>
    </w:p>
    <w:p>
      <w:pPr>
        <w:spacing w:after="40"/>
        <w:ind w:left="283" w:hanging="170"/>
      </w:pPr>
      <w:r>
        <w:rPr>
          <w:rFonts w:ascii="Calibri" w:hAnsi="Calibri"/>
          <w:color w:val="1A1A1A"/>
          <w:sz w:val="19"/>
        </w:rPr>
        <w:t>•  Plotnik JM et al. (2006). Self-recognition in an Asian elephant. PNAS 103(45):17053–17057.</w:t>
      </w:r>
    </w:p>
    <w:p>
      <w:pPr>
        <w:spacing w:after="40"/>
        <w:ind w:left="283" w:hanging="170"/>
      </w:pPr>
      <w:r>
        <w:rPr>
          <w:rFonts w:ascii="Calibri" w:hAnsi="Calibri"/>
          <w:color w:val="1A1A1A"/>
          <w:sz w:val="19"/>
        </w:rPr>
        <w:t>•  Hakeem AY et al. (2005). Brain of the African elephant (Loxodonta africana). Anatomical Record 287A(1):1117–1127.</w:t>
      </w:r>
    </w:p>
    <w:p>
      <w:pPr>
        <w:spacing w:after="40"/>
        <w:ind w:left="283" w:hanging="170"/>
      </w:pPr>
      <w:r>
        <w:rPr>
          <w:rFonts w:ascii="Calibri" w:hAnsi="Calibri"/>
          <w:color w:val="1A1A1A"/>
          <w:sz w:val="19"/>
        </w:rPr>
        <w:t>•  Hakeem AY et al. (2006). Von Economo neurons in the elephant brain. Neuroscience 143(4):1006–1014.</w:t>
      </w:r>
    </w:p>
    <w:p>
      <w:pPr>
        <w:spacing w:after="40"/>
        <w:ind w:left="283" w:hanging="170"/>
      </w:pPr>
      <w:r>
        <w:rPr>
          <w:rFonts w:ascii="Calibri" w:hAnsi="Calibri"/>
          <w:color w:val="1A1A1A"/>
          <w:sz w:val="19"/>
        </w:rPr>
        <w:t>•  Garstang M (2004). Long-distance, low-frequency elephant communication. J Comparative Physiology A 190:791–805.</w:t>
      </w:r>
    </w:p>
    <w:p>
      <w:pPr>
        <w:spacing w:after="40"/>
        <w:ind w:left="283" w:hanging="170"/>
      </w:pPr>
      <w:r>
        <w:rPr>
          <w:rFonts w:ascii="Calibri" w:hAnsi="Calibri"/>
          <w:color w:val="1A1A1A"/>
          <w:sz w:val="19"/>
        </w:rPr>
        <w:t>•  Hutchinson JR et al. (2006). Are fast-moving elephants really running? Nature 422:493–494.</w:t>
      </w:r>
    </w:p>
    <w:p>
      <w:pPr>
        <w:spacing w:after="40"/>
        <w:ind w:left="283" w:hanging="170"/>
      </w:pPr>
      <w:r>
        <w:rPr>
          <w:rFonts w:ascii="Calibri" w:hAnsi="Calibri"/>
          <w:color w:val="1A1A1A"/>
          <w:sz w:val="19"/>
        </w:rPr>
        <w:t>•  Schaftenaar W et al. (2021). EEHV haemorrhagic disease cases in Thailand 2006–2019. PMC8475116.</w:t>
      </w:r>
    </w:p>
    <w:p>
      <w:pPr>
        <w:spacing w:after="40"/>
        <w:ind w:left="283" w:hanging="170"/>
      </w:pPr>
      <w:r>
        <w:rPr>
          <w:rFonts w:ascii="Calibri" w:hAnsi="Calibri"/>
          <w:color w:val="1A1A1A"/>
          <w:sz w:val="19"/>
        </w:rPr>
        <w:t>•  Frontiers Vet Sci (2025). Blood reference intervals for Indian elephants (n=92). PMC12301552.</w:t>
      </w:r>
    </w:p>
    <w:p>
      <w:pPr>
        <w:spacing w:after="40"/>
        <w:ind w:left="283" w:hanging="170"/>
      </w:pPr>
      <w:r>
        <w:rPr>
          <w:rFonts w:ascii="Calibri" w:hAnsi="Calibri"/>
          <w:color w:val="1A1A1A"/>
          <w:sz w:val="19"/>
        </w:rPr>
        <w:t>•  MoEFCC India (2024). Elephant mortality statistics 2019–2024. Government of India.</w:t>
      </w:r>
    </w:p>
    <w:p>
      <w:pPr>
        <w:spacing w:after="40"/>
        <w:ind w:left="283" w:hanging="170"/>
      </w:pPr>
      <w:r>
        <w:rPr>
          <w:rFonts w:ascii="Calibri" w:hAnsi="Calibri"/>
          <w:color w:val="1A1A1A"/>
          <w:sz w:val="19"/>
        </w:rPr>
        <w:t>•  Frontiers Conserv Sci (2026). Reframing HEC in India. doi:10.3389/fcosc.2026.1762380.</w:t>
      </w:r>
    </w:p>
    <w:p>
      <w:pPr>
        <w:spacing w:after="40"/>
        <w:ind w:left="283" w:hanging="170"/>
      </w:pPr>
      <w:r>
        <w:rPr>
          <w:rFonts w:ascii="Calibri" w:hAnsi="Calibri"/>
          <w:color w:val="1A1A1A"/>
          <w:sz w:val="19"/>
        </w:rPr>
        <w:t>•  Wildlife Protection Act 1972 (India). Schedule I; Section 40; Project Elephant 1992.</w:t>
      </w:r>
    </w:p>
    <w:p>
      <w:pPr>
        <w:spacing w:after="40"/>
        <w:ind w:left="283" w:hanging="170"/>
      </w:pPr>
      <w:r>
        <w:rPr>
          <w:rFonts w:ascii="Calibri" w:hAnsi="Calibri"/>
          <w:color w:val="1A1A1A"/>
          <w:sz w:val="19"/>
        </w:rPr>
        <w:t>•  Ker RF et al. (2010). Elastic energy storage in the elephant foot. Nature 364:417–419.</w:t>
      </w:r>
    </w:p>
    <w:p/>
    <w:p>
      <w:pPr>
        <w:spacing w:after="80"/>
        <w:jc w:val="center"/>
      </w:pPr>
      <w:r>
        <w:rPr>
          <w:rFonts w:ascii="Calibri" w:hAnsi="Calibri"/>
          <w:b w:val="0"/>
          <w:i/>
          <w:color w:val="555555"/>
          <w:sz w:val="16"/>
        </w:rPr>
        <w:t>Notes compiled from lecture by Dr. Parag Nigam, PhD — Wildlife Institute of India  |  Web-elaborated June 2026</w:t>
      </w:r>
    </w:p>
    <w:p>
      <w:pPr>
        <w:spacing w:after="80"/>
        <w:jc w:val="center"/>
      </w:pPr>
      <w:r>
        <w:rPr>
          <w:rFonts w:ascii="Calibri" w:hAnsi="Calibri"/>
          <w:b w:val="0"/>
          <w:i/>
          <w:color w:val="555555"/>
          <w:sz w:val="16"/>
        </w:rPr>
        <w:t>Training Program: Essentials for Mortality Investigation of Asian Elephant  ·  5–6 June 2026, Raigarh, Chhattisgarh</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Biological and Anatomical Aspects of Elephants — Elaborated Notes</dc:title>
  <dc:subject/>
  <dc:creator>Dr. Parag Nigam, WII (web-elaborated)</dc:creator>
  <cp:keywords/>
  <dc:description>generated by python-docx</dc:description>
  <cp:lastModifiedBy/>
  <cp:revision>1</cp:revision>
  <dcterms:created xsi:type="dcterms:W3CDTF">2013-12-23T23:15:00Z</dcterms:created>
  <dcterms:modified xsi:type="dcterms:W3CDTF">2013-12-23T23:15:00Z</dcterms:modified>
  <cp:category/>
</cp:coreProperties>
</file>