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638"/>
      </w:tblGrid>
      <w:tr>
        <w:tc>
          <w:tcPr>
            <w:tcW w:type="dxa" w:w="9638"/>
            <w:shd w:val="clear" w:color="auto" w:fill="1B4332"/>
          </w:tcPr>
          <w:p>
            <w:pPr>
              <w:spacing w:before="400" w:after="400"/>
              <w:jc w:val="center"/>
            </w:pPr>
            <w:r>
              <w:rPr>
                <w:rFonts w:ascii="Calibri" w:hAnsi="Calibri"/>
                <w:b/>
                <w:color w:val="52B788"/>
                <w:sz w:val="18"/>
              </w:rPr>
              <w:t>NON-INFECTIOUS DISEASE &amp; TOXICOLOGY</w:t>
              <w:br/>
            </w:r>
            <w:r>
              <w:rPr>
                <w:rFonts w:ascii="Calibri" w:hAnsi="Calibri"/>
                <w:b/>
                <w:color w:val="FFFFFF"/>
                <w:sz w:val="36"/>
              </w:rPr>
              <w:t>Non-Infectious Pathology in Asian Elephants</w:t>
              <w:br/>
            </w:r>
            <w:r>
              <w:rPr>
                <w:rFonts w:ascii="Calibri" w:hAnsi="Calibri"/>
                <w:color w:val="D8F3DC"/>
                <w:sz w:val="20"/>
              </w:rPr>
              <w:t>Comprehensive Study Notes with Slide Images</w:t>
              <w:br/>
            </w:r>
            <w:r>
              <w:rPr>
                <w:rFonts w:ascii="Calibri" w:hAnsi="Calibri"/>
                <w:b/>
                <w:color w:val="FFFFFF"/>
                <w:sz w:val="20"/>
              </w:rPr>
              <w:t>Prof. Dr. A B Shrivastava  ·  Founder Director, School of Wildlife Forensic and Health</w:t>
              <w:br/>
            </w:r>
            <w:r>
              <w:rPr>
                <w:rFonts w:ascii="Calibri" w:hAnsi="Calibri"/>
                <w:i/>
                <w:color w:val="D8F3DC"/>
                <w:sz w:val="18"/>
              </w:rPr>
              <w:t>Nanaji Deshmukh Veterinary Science University, Jabalpur 482001, M.P.</w:t>
            </w:r>
          </w:p>
        </w:tc>
      </w:tr>
    </w:tbl>
    <w:p/>
    <w:tbl>
      <w:tblPr>
        <w:tblStyle w:val="TableGrid"/>
        <w:tblW w:type="auto" w:w="0"/>
        <w:tblLook w:firstColumn="1" w:firstRow="1" w:lastColumn="0" w:lastRow="0" w:noHBand="0" w:noVBand="1" w:val="04A0"/>
      </w:tblPr>
      <w:tblGrid>
        <w:gridCol w:w="9638"/>
      </w:tblGrid>
      <w:tr>
        <w:tc>
          <w:tcPr>
            <w:tcW w:type="dxa" w:w="9638"/>
            <w:shd w:val="clear" w:color="auto" w:fill="D8F3DC"/>
          </w:tcPr>
          <w:p>
            <w:pPr>
              <w:spacing w:before="100" w:after="100"/>
            </w:pPr>
            <w:r>
              <w:rPr>
                <w:rFonts w:ascii="Calibri" w:hAnsi="Calibri"/>
                <w:b/>
                <w:color w:val="1B4332"/>
                <w:sz w:val="18"/>
              </w:rPr>
              <w:t>Training Program: Essentials for Mortality Investigation of Asian Elephant</w:t>
              <w:br/>
              <w:t>Chhattisgarh Forest Department  ·  5–6 June 2026, Raigarh  ·  Technical Support: WII Dehradun</w:t>
              <w:br/>
              <w:t>Lab Partners: ICAR-IVRI &amp; NDVSU Jabalpur  ·  Notes elaborated with peer-reviewed literature</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8F3DC"/>
          </w:tcPr>
          <w:p>
            <w:pPr>
              <w:spacing w:before="100" w:after="100"/>
            </w:pPr>
            <w:r>
              <w:rPr>
                <w:rFonts w:ascii="Calibri" w:hAnsi="Calibri"/>
                <w:b/>
                <w:color w:val="1B4332"/>
                <w:sz w:val="18"/>
              </w:rPr>
              <w:t>CONTENTS OF THIS DOCUMENT:</w:t>
              <w:br/>
              <w:t xml:space="preserve">  1. Introduction — Non-Infectious Pathology &amp; Elephant Poisoning in India</w:t>
              <w:br/>
              <w:t xml:space="preserve">  2. Poisoning Statistics &amp; Categories of Elephant Toxicity</w:t>
              <w:br/>
              <w:t xml:space="preserve">  3. Anthropogenic Poisons (Agrochemicals · Cyanide · Fertilizers &amp; Heavy Metals)</w:t>
              <w:br/>
              <w:t xml:space="preserve">  4. Mycotoxins &amp; Biological Toxins — Kodo Millet (CPA) · Cyanobacteria · Toxic Plants</w:t>
              <w:br/>
              <w:t xml:space="preserve">  5. HCN (Cyanide) Poisoning from Sorghum — Mechanism, Signs, Antidote, Prevention</w:t>
              <w:br/>
              <w:t xml:space="preserve">  6. Electrocution in Elephants</w:t>
              <w:br/>
              <w:t xml:space="preserve">  7. Pyometra</w:t>
              <w:br/>
              <w:t xml:space="preserve">  8. Hyperthermia &amp; Heat Stress</w:t>
              <w:br/>
              <w:t xml:space="preserve">  9. Iron Deficiency Anaemia</w:t>
              <w:br/>
              <w:t xml:space="preserve">  10. References &amp; Recommended Reading</w:t>
            </w:r>
          </w:p>
        </w:tc>
      </w:tr>
    </w:tbl>
    <w:p>
      <w:pPr>
        <w:spacing w:after="40"/>
      </w:pPr>
    </w:p>
    <w:p>
      <w:pPr>
        <w:spacing w:before="80" w:after="40"/>
        <w:jc w:val="center"/>
      </w:pPr>
      <w:r>
        <w:drawing>
          <wp:inline xmlns:a="http://schemas.openxmlformats.org/drawingml/2006/main" xmlns:pic="http://schemas.openxmlformats.org/drawingml/2006/picture">
            <wp:extent cx="4680000" cy="6056471"/>
            <wp:docPr id="1" name="Picture 1"/>
            <wp:cNvGraphicFramePr>
              <a:graphicFrameLocks noChangeAspect="1"/>
            </wp:cNvGraphicFramePr>
            <a:graphic>
              <a:graphicData uri="http://schemas.openxmlformats.org/drawingml/2006/picture">
                <pic:pic>
                  <pic:nvPicPr>
                    <pic:cNvPr id="0" name="page_001.png"/>
                    <pic:cNvPicPr/>
                  </pic:nvPicPr>
                  <pic:blipFill>
                    <a:blip r:embed="rId9"/>
                    <a:stretch>
                      <a:fillRect/>
                    </a:stretch>
                  </pic:blipFill>
                  <pic:spPr>
                    <a:xfrm>
                      <a:off x="0" y="0"/>
                      <a:ext cx="4680000" cy="6056471"/>
                    </a:xfrm>
                    <a:prstGeom prst="rect"/>
                  </pic:spPr>
                </pic:pic>
              </a:graphicData>
            </a:graphic>
          </wp:inline>
        </w:drawing>
      </w:r>
    </w:p>
    <w:p>
      <w:pPr>
        <w:spacing w:after="120"/>
        <w:jc w:val="center"/>
      </w:pPr>
      <w:r>
        <w:rPr>
          <w:rFonts w:ascii="Calibri" w:hAnsi="Calibri"/>
          <w:i/>
          <w:color w:val="555555"/>
          <w:sz w:val="16"/>
        </w:rPr>
        <w:t>Slide 1 — Title slide: Non-Infectious Pathology in Asian Elephants; Elephant Poisoning in India</w:t>
      </w:r>
    </w:p>
    <w:p>
      <w:pPr>
        <w:spacing w:before="0" w:after="0"/>
      </w:pPr>
      <w:r>
        <w:br w:type="page"/>
      </w:r>
    </w:p>
    <w:tbl>
      <w:tblPr>
        <w:tblStyle w:val="TableGrid"/>
        <w:tblW w:type="auto" w:w="0"/>
        <w:tblLook w:firstColumn="1" w:firstRow="1" w:lastColumn="0" w:lastRow="0" w:noHBand="0" w:noVBand="1" w:val="04A0"/>
      </w:tblPr>
      <w:tblGrid>
        <w:gridCol w:w="9638"/>
      </w:tblGrid>
      <w:tr>
        <w:tc>
          <w:tcPr>
            <w:tcW w:type="dxa" w:w="9638"/>
            <w:shd w:val="clear" w:color="auto" w:fill="1B4332"/>
          </w:tcPr>
          <w:p>
            <w:pPr>
              <w:spacing w:before="160" w:after="160"/>
            </w:pPr>
            <w:r>
              <w:rPr>
                <w:rFonts w:ascii="Calibri" w:hAnsi="Calibri"/>
                <w:b/>
                <w:color w:val="FFFFFF"/>
                <w:sz w:val="26"/>
              </w:rPr>
              <w:t>1.  Introduction — Non-Infectious Pathology &amp; Elephant Poisoning</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1.1  Non-Infectious Disease in Elephants — Scope</w:t>
            </w:r>
          </w:p>
        </w:tc>
      </w:tr>
    </w:tbl>
    <w:p>
      <w:pPr>
        <w:spacing w:after="40"/>
      </w:pPr>
    </w:p>
    <w:p>
      <w:pPr>
        <w:spacing w:after="80"/>
        <w:jc w:val="both"/>
      </w:pPr>
      <w:r>
        <w:rPr>
          <w:rFonts w:ascii="Calibri" w:hAnsi="Calibri"/>
          <w:b w:val="0"/>
          <w:i w:val="0"/>
          <w:color w:val="1A1A1A"/>
          <w:sz w:val="19"/>
        </w:rPr>
        <w:t>Non-infectious pathology refers to disease and death NOT caused by transmissible pathogens (bacteria, viruses, fungi, parasites). In Asian elephants, non-infectious causes are overwhelmingly anthropogenic (human-caused) and represent the leading cause of unnatural elephant mortality in India. The major categories are poisoning (intentional and accidental), electrocution, metabolic/reproductive disorders (pyometra, hyperthermia), and nutritional deficiency (anaemia).</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1.2  Elephant Poisoning in India — Overview</w:t>
            </w:r>
          </w:p>
        </w:tc>
      </w:tr>
    </w:tbl>
    <w:p>
      <w:pPr>
        <w:spacing w:after="40"/>
      </w:pPr>
    </w:p>
    <w:p>
      <w:pPr>
        <w:spacing w:after="80"/>
        <w:jc w:val="both"/>
      </w:pPr>
      <w:r>
        <w:rPr>
          <w:rFonts w:ascii="Calibri" w:hAnsi="Calibri"/>
          <w:b w:val="0"/>
          <w:i w:val="0"/>
          <w:color w:val="1A1A1A"/>
          <w:sz w:val="19"/>
        </w:rPr>
        <w:t>Poisoning is a severe threat to pachyderms. In India and across Africa, these incidents primarily stem from HUMAN-WILDLIFE CONFLICT and ILLEGAL POACHING. A "pachyderm" is a large, thick-skinned mammal — the term is most commonly used for elephants, rhinoceroses and hippopotamuses.</w:t>
      </w:r>
    </w:p>
    <w:p>
      <w:pPr>
        <w:spacing w:after="40"/>
        <w:ind w:left="283" w:hanging="170"/>
      </w:pPr>
      <w:r>
        <w:rPr>
          <w:rFonts w:ascii="Calibri" w:hAnsi="Calibri"/>
          <w:color w:val="1A1A1A"/>
          <w:sz w:val="19"/>
        </w:rPr>
        <w:t>•  Poisoning occurs INTENTIONALLY — via illegal poaching (for ivory/body parts) and human-elephant conflict retaliation (crop-raiding revenge)</w:t>
      </w:r>
    </w:p>
    <w:p>
      <w:pPr>
        <w:spacing w:after="40"/>
        <w:ind w:left="283" w:hanging="170"/>
      </w:pPr>
      <w:r>
        <w:rPr>
          <w:rFonts w:ascii="Calibri" w:hAnsi="Calibri"/>
          <w:color w:val="1A1A1A"/>
          <w:sz w:val="19"/>
        </w:rPr>
        <w:t>•  Poisoning also occurs ACCIDENTALLY — ingestion of agrochemicals, contaminated crops, toxic plants, or contaminated water</w:t>
      </w:r>
    </w:p>
    <w:p>
      <w:pPr>
        <w:spacing w:after="40"/>
        <w:ind w:left="283" w:hanging="170"/>
      </w:pPr>
      <w:r>
        <w:rPr>
          <w:rFonts w:ascii="Calibri" w:hAnsi="Calibri"/>
          <w:color w:val="1A1A1A"/>
          <w:sz w:val="19"/>
        </w:rPr>
        <w:t>•  In India, unnatural causes such as electrocution and poisoning claim HUNDREDS of elephant lives every year</w:t>
      </w:r>
    </w:p>
    <w:p>
      <w:pPr>
        <w:spacing w:after="40"/>
        <w:ind w:left="283" w:hanging="170"/>
      </w:pPr>
      <w:r>
        <w:rPr>
          <w:rFonts w:ascii="Calibri" w:hAnsi="Calibri"/>
          <w:color w:val="1A1A1A"/>
          <w:sz w:val="19"/>
        </w:rPr>
        <w:t>•  Elephants are BULK FORAGERS: their high daily food intake (150–300 kg) and water intake (100–200 L) make them highly susceptible to environmental toxins even at low concentrations</w:t>
      </w:r>
    </w:p>
    <w:tbl>
      <w:tblPr>
        <w:tblStyle w:val="TableGrid"/>
        <w:tblW w:type="auto" w:w="0"/>
        <w:tblLook w:firstColumn="1" w:firstRow="1" w:lastColumn="0" w:lastRow="0" w:noHBand="0" w:noVBand="1" w:val="04A0"/>
      </w:tblPr>
      <w:tblGrid>
        <w:gridCol w:w="9638"/>
      </w:tblGrid>
      <w:tr>
        <w:tc>
          <w:tcPr>
            <w:tcW w:type="dxa" w:w="9638"/>
            <w:shd w:val="clear" w:color="auto" w:fill="D8F3DC"/>
          </w:tcPr>
          <w:p>
            <w:pPr>
              <w:spacing w:before="100" w:after="100"/>
            </w:pPr>
            <w:r>
              <w:rPr>
                <w:rFonts w:ascii="Calibri" w:hAnsi="Calibri"/>
                <w:b/>
                <w:color w:val="1B4332"/>
                <w:sz w:val="18"/>
              </w:rPr>
              <w:t>KEY CONCEPT: Non-infectious mortality in Indian elephants is largely PREVENTABLE. Unlike infectious disease, these deaths result from human activity — agrochemical misuse, illegal electric fencing, retaliatory poisoning, and habitat degradation. Mortality investigation that correctly identifies the cause is essential for legal action and prevention.</w:t>
            </w:r>
          </w:p>
        </w:tc>
      </w:tr>
    </w:tbl>
    <w:p>
      <w:pPr>
        <w:spacing w:after="40"/>
      </w:pPr>
    </w:p>
    <w:p>
      <w:pPr>
        <w:spacing w:before="0" w:after="0"/>
      </w:pPr>
      <w:r>
        <w:br w:type="page"/>
      </w:r>
    </w:p>
    <w:tbl>
      <w:tblPr>
        <w:tblStyle w:val="TableGrid"/>
        <w:tblW w:type="auto" w:w="0"/>
        <w:tblLook w:firstColumn="1" w:firstRow="1" w:lastColumn="0" w:lastRow="0" w:noHBand="0" w:noVBand="1" w:val="04A0"/>
      </w:tblPr>
      <w:tblGrid>
        <w:gridCol w:w="9638"/>
      </w:tblGrid>
      <w:tr>
        <w:tc>
          <w:tcPr>
            <w:tcW w:type="dxa" w:w="9638"/>
            <w:shd w:val="clear" w:color="auto" w:fill="1B4332"/>
          </w:tcPr>
          <w:p>
            <w:pPr>
              <w:spacing w:before="160" w:after="160"/>
            </w:pPr>
            <w:r>
              <w:rPr>
                <w:rFonts w:ascii="Calibri" w:hAnsi="Calibri"/>
                <w:b/>
                <w:color w:val="FFFFFF"/>
                <w:sz w:val="26"/>
              </w:rPr>
              <w:t>2.  Poisoning Statistics &amp; Categories of Toxicity</w:t>
            </w:r>
          </w:p>
        </w:tc>
      </w:tr>
    </w:tbl>
    <w:p>
      <w:pPr>
        <w:spacing w:after="40"/>
      </w:pPr>
    </w:p>
    <w:p>
      <w:pPr>
        <w:spacing w:before="80" w:after="40"/>
        <w:jc w:val="center"/>
      </w:pPr>
      <w:r>
        <w:drawing>
          <wp:inline xmlns:a="http://schemas.openxmlformats.org/drawingml/2006/main" xmlns:pic="http://schemas.openxmlformats.org/drawingml/2006/picture">
            <wp:extent cx="4680000" cy="6056471"/>
            <wp:docPr id="2" name="Picture 2"/>
            <wp:cNvGraphicFramePr>
              <a:graphicFrameLocks noChangeAspect="1"/>
            </wp:cNvGraphicFramePr>
            <a:graphic>
              <a:graphicData uri="http://schemas.openxmlformats.org/drawingml/2006/picture">
                <pic:pic>
                  <pic:nvPicPr>
                    <pic:cNvPr id="0" name="page_002.png"/>
                    <pic:cNvPicPr/>
                  </pic:nvPicPr>
                  <pic:blipFill>
                    <a:blip r:embed="rId10"/>
                    <a:stretch>
                      <a:fillRect/>
                    </a:stretch>
                  </pic:blipFill>
                  <pic:spPr>
                    <a:xfrm>
                      <a:off x="0" y="0"/>
                      <a:ext cx="4680000" cy="6056471"/>
                    </a:xfrm>
                    <a:prstGeom prst="rect"/>
                  </pic:spPr>
                </pic:pic>
              </a:graphicData>
            </a:graphic>
          </wp:inline>
        </w:drawing>
      </w:r>
    </w:p>
    <w:p>
      <w:pPr>
        <w:spacing w:after="120"/>
        <w:jc w:val="center"/>
      </w:pPr>
      <w:r>
        <w:rPr>
          <w:rFonts w:ascii="Calibri" w:hAnsi="Calibri"/>
          <w:i/>
          <w:color w:val="555555"/>
          <w:sz w:val="16"/>
        </w:rPr>
        <w:t>Slide 2 — Elephant poisoning deaths by state (1997–2005); three categories of toxicity</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2.1  Elephant Deaths by Poisoning Since 1997 (State-Wise)</w:t>
            </w:r>
          </w:p>
        </w:tc>
      </w:tr>
    </w:tbl>
    <w:p>
      <w:pPr>
        <w:spacing w:after="40"/>
      </w:pPr>
    </w:p>
    <w:p>
      <w:pPr>
        <w:spacing w:after="80"/>
        <w:jc w:val="both"/>
      </w:pPr>
      <w:r>
        <w:rPr>
          <w:rFonts w:ascii="Calibri" w:hAnsi="Calibri"/>
          <w:b w:val="0"/>
          <w:i w:val="0"/>
          <w:color w:val="1A1A1A"/>
          <w:sz w:val="19"/>
        </w:rPr>
        <w:t>The following data documents elephant deaths attributed to poisoning across Indian states (Source: WTI Elephant Mortality Database):</w:t>
      </w:r>
    </w:p>
    <w:tbl>
      <w:tblPr>
        <w:tblStyle w:val="TableGrid"/>
        <w:tblW w:type="auto" w:w="0"/>
        <w:tblLook w:firstColumn="1" w:firstRow="1" w:lastColumn="0" w:lastRow="0" w:noHBand="0" w:noVBand="1" w:val="04A0"/>
      </w:tblPr>
      <w:tblGrid>
        <w:gridCol w:w="3213"/>
        <w:gridCol w:w="3213"/>
        <w:gridCol w:w="3213"/>
      </w:tblGrid>
      <w:tr>
        <w:tc>
          <w:tcPr>
            <w:tcW w:type="dxa" w:w="3402"/>
            <w:shd w:val="clear" w:color="auto" w:fill="2D6A4F"/>
          </w:tcPr>
          <w:p>
            <w:pPr>
              <w:jc w:val="center"/>
            </w:pPr>
            <w:r>
              <w:rPr>
                <w:rFonts w:ascii="Calibri" w:hAnsi="Calibri"/>
                <w:b/>
                <w:color w:val="FFFFFF"/>
                <w:sz w:val="17"/>
              </w:rPr>
              <w:t>State</w:t>
            </w:r>
          </w:p>
        </w:tc>
        <w:tc>
          <w:tcPr>
            <w:tcW w:type="dxa" w:w="2835"/>
            <w:shd w:val="clear" w:color="auto" w:fill="2D6A4F"/>
          </w:tcPr>
          <w:p>
            <w:pPr>
              <w:jc w:val="center"/>
            </w:pPr>
            <w:r>
              <w:rPr>
                <w:rFonts w:ascii="Calibri" w:hAnsi="Calibri"/>
                <w:b/>
                <w:color w:val="FFFFFF"/>
                <w:sz w:val="17"/>
              </w:rPr>
              <w:t>Years</w:t>
            </w:r>
          </w:p>
        </w:tc>
        <w:tc>
          <w:tcPr>
            <w:tcW w:type="dxa" w:w="1701"/>
            <w:shd w:val="clear" w:color="auto" w:fill="2D6A4F"/>
          </w:tcPr>
          <w:p>
            <w:pPr>
              <w:jc w:val="center"/>
            </w:pPr>
            <w:r>
              <w:rPr>
                <w:rFonts w:ascii="Calibri" w:hAnsi="Calibri"/>
                <w:b/>
                <w:color w:val="FFFFFF"/>
                <w:sz w:val="17"/>
              </w:rPr>
              <w:t>Cases</w:t>
            </w:r>
          </w:p>
        </w:tc>
      </w:tr>
      <w:tr>
        <w:tc>
          <w:tcPr>
            <w:tcW w:type="dxa" w:w="3402"/>
            <w:shd w:val="clear" w:color="auto" w:fill="FFFFFF"/>
          </w:tcPr>
          <w:p>
            <w:r>
              <w:rPr>
                <w:rFonts w:ascii="Calibri" w:hAnsi="Calibri"/>
                <w:b w:val="0"/>
                <w:color w:val="1A1A1A"/>
                <w:sz w:val="17"/>
              </w:rPr>
              <w:t>Assam</w:t>
            </w:r>
          </w:p>
        </w:tc>
        <w:tc>
          <w:tcPr>
            <w:tcW w:type="dxa" w:w="2835"/>
            <w:shd w:val="clear" w:color="auto" w:fill="FFFFFF"/>
          </w:tcPr>
          <w:p>
            <w:r>
              <w:rPr>
                <w:rFonts w:ascii="Calibri" w:hAnsi="Calibri"/>
                <w:b w:val="0"/>
                <w:color w:val="1A1A1A"/>
                <w:sz w:val="17"/>
              </w:rPr>
              <w:t>1997–2005</w:t>
            </w:r>
          </w:p>
        </w:tc>
        <w:tc>
          <w:tcPr>
            <w:tcW w:type="dxa" w:w="1701"/>
            <w:shd w:val="clear" w:color="auto" w:fill="FFFFFF"/>
          </w:tcPr>
          <w:p>
            <w:r>
              <w:rPr>
                <w:rFonts w:ascii="Calibri" w:hAnsi="Calibri"/>
                <w:b w:val="0"/>
                <w:color w:val="1A1A1A"/>
                <w:sz w:val="17"/>
              </w:rPr>
              <w:t>29</w:t>
            </w:r>
          </w:p>
        </w:tc>
      </w:tr>
      <w:tr>
        <w:tc>
          <w:tcPr>
            <w:tcW w:type="dxa" w:w="3402"/>
            <w:shd w:val="clear" w:color="auto" w:fill="EAF7EE"/>
          </w:tcPr>
          <w:p>
            <w:r>
              <w:rPr>
                <w:rFonts w:ascii="Calibri" w:hAnsi="Calibri"/>
                <w:b w:val="0"/>
                <w:color w:val="1A1A1A"/>
                <w:sz w:val="17"/>
              </w:rPr>
              <w:t>Orissa</w:t>
            </w:r>
          </w:p>
        </w:tc>
        <w:tc>
          <w:tcPr>
            <w:tcW w:type="dxa" w:w="2835"/>
            <w:shd w:val="clear" w:color="auto" w:fill="EAF7EE"/>
          </w:tcPr>
          <w:p>
            <w:r>
              <w:rPr>
                <w:rFonts w:ascii="Calibri" w:hAnsi="Calibri"/>
                <w:b w:val="0"/>
                <w:color w:val="1A1A1A"/>
                <w:sz w:val="17"/>
              </w:rPr>
              <w:t>1997–2003</w:t>
            </w:r>
          </w:p>
        </w:tc>
        <w:tc>
          <w:tcPr>
            <w:tcW w:type="dxa" w:w="1701"/>
            <w:shd w:val="clear" w:color="auto" w:fill="EAF7EE"/>
          </w:tcPr>
          <w:p>
            <w:r>
              <w:rPr>
                <w:rFonts w:ascii="Calibri" w:hAnsi="Calibri"/>
                <w:b w:val="0"/>
                <w:color w:val="1A1A1A"/>
                <w:sz w:val="17"/>
              </w:rPr>
              <w:t>03</w:t>
            </w:r>
          </w:p>
        </w:tc>
      </w:tr>
      <w:tr>
        <w:tc>
          <w:tcPr>
            <w:tcW w:type="dxa" w:w="3402"/>
            <w:shd w:val="clear" w:color="auto" w:fill="FFFFFF"/>
          </w:tcPr>
          <w:p>
            <w:r>
              <w:rPr>
                <w:rFonts w:ascii="Calibri" w:hAnsi="Calibri"/>
                <w:b w:val="0"/>
                <w:color w:val="1A1A1A"/>
                <w:sz w:val="17"/>
              </w:rPr>
              <w:t>West Bengal</w:t>
            </w:r>
          </w:p>
        </w:tc>
        <w:tc>
          <w:tcPr>
            <w:tcW w:type="dxa" w:w="2835"/>
            <w:shd w:val="clear" w:color="auto" w:fill="FFFFFF"/>
          </w:tcPr>
          <w:p>
            <w:r>
              <w:rPr>
                <w:rFonts w:ascii="Calibri" w:hAnsi="Calibri"/>
                <w:b w:val="0"/>
                <w:color w:val="1A1A1A"/>
                <w:sz w:val="17"/>
              </w:rPr>
              <w:t>1997–2004</w:t>
            </w:r>
          </w:p>
        </w:tc>
        <w:tc>
          <w:tcPr>
            <w:tcW w:type="dxa" w:w="1701"/>
            <w:shd w:val="clear" w:color="auto" w:fill="FFFFFF"/>
          </w:tcPr>
          <w:p>
            <w:r>
              <w:rPr>
                <w:rFonts w:ascii="Calibri" w:hAnsi="Calibri"/>
                <w:b w:val="0"/>
                <w:color w:val="1A1A1A"/>
                <w:sz w:val="17"/>
              </w:rPr>
              <w:t>03</w:t>
            </w:r>
          </w:p>
        </w:tc>
      </w:tr>
      <w:tr>
        <w:tc>
          <w:tcPr>
            <w:tcW w:type="dxa" w:w="3402"/>
            <w:shd w:val="clear" w:color="auto" w:fill="EAF7EE"/>
          </w:tcPr>
          <w:p>
            <w:r>
              <w:rPr>
                <w:rFonts w:ascii="Calibri" w:hAnsi="Calibri"/>
                <w:b w:val="0"/>
                <w:color w:val="1A1A1A"/>
                <w:sz w:val="17"/>
              </w:rPr>
              <w:t>Arunachal Pradesh</w:t>
            </w:r>
          </w:p>
        </w:tc>
        <w:tc>
          <w:tcPr>
            <w:tcW w:type="dxa" w:w="2835"/>
            <w:shd w:val="clear" w:color="auto" w:fill="EAF7EE"/>
          </w:tcPr>
          <w:p>
            <w:r>
              <w:rPr>
                <w:rFonts w:ascii="Calibri" w:hAnsi="Calibri"/>
                <w:b w:val="0"/>
                <w:color w:val="1A1A1A"/>
                <w:sz w:val="17"/>
              </w:rPr>
              <w:t>1997–2005</w:t>
            </w:r>
          </w:p>
        </w:tc>
        <w:tc>
          <w:tcPr>
            <w:tcW w:type="dxa" w:w="1701"/>
            <w:shd w:val="clear" w:color="auto" w:fill="EAF7EE"/>
          </w:tcPr>
          <w:p>
            <w:r>
              <w:rPr>
                <w:rFonts w:ascii="Calibri" w:hAnsi="Calibri"/>
                <w:b w:val="0"/>
                <w:color w:val="1A1A1A"/>
                <w:sz w:val="17"/>
              </w:rPr>
              <w:t>02</w:t>
            </w:r>
          </w:p>
        </w:tc>
      </w:tr>
      <w:tr>
        <w:tc>
          <w:tcPr>
            <w:tcW w:type="dxa" w:w="3402"/>
            <w:shd w:val="clear" w:color="auto" w:fill="FFFFFF"/>
          </w:tcPr>
          <w:p>
            <w:r>
              <w:rPr>
                <w:rFonts w:ascii="Calibri" w:hAnsi="Calibri"/>
                <w:b w:val="0"/>
                <w:color w:val="1A1A1A"/>
                <w:sz w:val="17"/>
              </w:rPr>
              <w:t>Jharkhand</w:t>
            </w:r>
          </w:p>
        </w:tc>
        <w:tc>
          <w:tcPr>
            <w:tcW w:type="dxa" w:w="2835"/>
            <w:shd w:val="clear" w:color="auto" w:fill="FFFFFF"/>
          </w:tcPr>
          <w:p>
            <w:r>
              <w:rPr>
                <w:rFonts w:ascii="Calibri" w:hAnsi="Calibri"/>
                <w:b w:val="0"/>
                <w:color w:val="1A1A1A"/>
                <w:sz w:val="17"/>
              </w:rPr>
              <w:t>2002–2003</w:t>
            </w:r>
          </w:p>
        </w:tc>
        <w:tc>
          <w:tcPr>
            <w:tcW w:type="dxa" w:w="1701"/>
            <w:shd w:val="clear" w:color="auto" w:fill="FFFFFF"/>
          </w:tcPr>
          <w:p>
            <w:r>
              <w:rPr>
                <w:rFonts w:ascii="Calibri" w:hAnsi="Calibri"/>
                <w:b w:val="0"/>
                <w:color w:val="1A1A1A"/>
                <w:sz w:val="17"/>
              </w:rPr>
              <w:t>02</w:t>
            </w:r>
          </w:p>
        </w:tc>
      </w:tr>
      <w:tr>
        <w:tc>
          <w:tcPr>
            <w:tcW w:type="dxa" w:w="3402"/>
            <w:shd w:val="clear" w:color="auto" w:fill="EAF7EE"/>
          </w:tcPr>
          <w:p>
            <w:r>
              <w:rPr>
                <w:rFonts w:ascii="Calibri" w:hAnsi="Calibri"/>
                <w:b w:val="0"/>
                <w:color w:val="1A1A1A"/>
                <w:sz w:val="17"/>
              </w:rPr>
              <w:t>Karnataka</w:t>
            </w:r>
          </w:p>
        </w:tc>
        <w:tc>
          <w:tcPr>
            <w:tcW w:type="dxa" w:w="2835"/>
            <w:shd w:val="clear" w:color="auto" w:fill="EAF7EE"/>
          </w:tcPr>
          <w:p>
            <w:r>
              <w:rPr>
                <w:rFonts w:ascii="Calibri" w:hAnsi="Calibri"/>
                <w:b w:val="0"/>
                <w:color w:val="1A1A1A"/>
                <w:sz w:val="17"/>
              </w:rPr>
              <w:t>1997–2005</w:t>
            </w:r>
          </w:p>
        </w:tc>
        <w:tc>
          <w:tcPr>
            <w:tcW w:type="dxa" w:w="1701"/>
            <w:shd w:val="clear" w:color="auto" w:fill="EAF7EE"/>
          </w:tcPr>
          <w:p>
            <w:r>
              <w:rPr>
                <w:rFonts w:ascii="Calibri" w:hAnsi="Calibri"/>
                <w:b w:val="0"/>
                <w:color w:val="1A1A1A"/>
                <w:sz w:val="17"/>
              </w:rPr>
              <w:t>02</w:t>
            </w:r>
          </w:p>
        </w:tc>
      </w:tr>
      <w:tr>
        <w:tc>
          <w:tcPr>
            <w:tcW w:type="dxa" w:w="3402"/>
            <w:shd w:val="clear" w:color="auto" w:fill="FFFFFF"/>
          </w:tcPr>
          <w:p>
            <w:r>
              <w:rPr>
                <w:rFonts w:ascii="Calibri" w:hAnsi="Calibri"/>
                <w:b w:val="0"/>
                <w:color w:val="1A1A1A"/>
                <w:sz w:val="17"/>
              </w:rPr>
              <w:t>Kerala</w:t>
            </w:r>
          </w:p>
        </w:tc>
        <w:tc>
          <w:tcPr>
            <w:tcW w:type="dxa" w:w="2835"/>
            <w:shd w:val="clear" w:color="auto" w:fill="FFFFFF"/>
          </w:tcPr>
          <w:p>
            <w:r>
              <w:rPr>
                <w:rFonts w:ascii="Calibri" w:hAnsi="Calibri"/>
                <w:b w:val="0"/>
                <w:color w:val="1A1A1A"/>
                <w:sz w:val="17"/>
              </w:rPr>
              <w:t>1997–2003</w:t>
            </w:r>
          </w:p>
        </w:tc>
        <w:tc>
          <w:tcPr>
            <w:tcW w:type="dxa" w:w="1701"/>
            <w:shd w:val="clear" w:color="auto" w:fill="FFFFFF"/>
          </w:tcPr>
          <w:p>
            <w:r>
              <w:rPr>
                <w:rFonts w:ascii="Calibri" w:hAnsi="Calibri"/>
                <w:b w:val="0"/>
                <w:color w:val="1A1A1A"/>
                <w:sz w:val="17"/>
              </w:rPr>
              <w:t>02</w:t>
            </w:r>
          </w:p>
        </w:tc>
      </w:tr>
      <w:tr>
        <w:tc>
          <w:tcPr>
            <w:tcW w:type="dxa" w:w="3402"/>
            <w:shd w:val="clear" w:color="auto" w:fill="EAF7EE"/>
          </w:tcPr>
          <w:p>
            <w:r>
              <w:rPr>
                <w:rFonts w:ascii="Calibri" w:hAnsi="Calibri"/>
                <w:b w:val="0"/>
                <w:color w:val="1A1A1A"/>
                <w:sz w:val="17"/>
              </w:rPr>
              <w:t>Uttar Pradesh</w:t>
            </w:r>
          </w:p>
        </w:tc>
        <w:tc>
          <w:tcPr>
            <w:tcW w:type="dxa" w:w="2835"/>
            <w:shd w:val="clear" w:color="auto" w:fill="EAF7EE"/>
          </w:tcPr>
          <w:p>
            <w:r>
              <w:rPr>
                <w:rFonts w:ascii="Calibri" w:hAnsi="Calibri"/>
                <w:b w:val="0"/>
                <w:color w:val="1A1A1A"/>
                <w:sz w:val="17"/>
              </w:rPr>
              <w:t>1997–2004</w:t>
            </w:r>
          </w:p>
        </w:tc>
        <w:tc>
          <w:tcPr>
            <w:tcW w:type="dxa" w:w="1701"/>
            <w:shd w:val="clear" w:color="auto" w:fill="EAF7EE"/>
          </w:tcPr>
          <w:p>
            <w:r>
              <w:rPr>
                <w:rFonts w:ascii="Calibri" w:hAnsi="Calibri"/>
                <w:b w:val="0"/>
                <w:color w:val="1A1A1A"/>
                <w:sz w:val="17"/>
              </w:rPr>
              <w:t>02</w:t>
            </w:r>
          </w:p>
        </w:tc>
      </w:tr>
      <w:tr>
        <w:tc>
          <w:tcPr>
            <w:tcW w:type="dxa" w:w="3402"/>
            <w:shd w:val="clear" w:color="auto" w:fill="FFFFFF"/>
          </w:tcPr>
          <w:p>
            <w:r>
              <w:rPr>
                <w:rFonts w:ascii="Calibri" w:hAnsi="Calibri"/>
                <w:b w:val="0"/>
                <w:color w:val="1A1A1A"/>
                <w:sz w:val="17"/>
              </w:rPr>
              <w:t>Uttaranchal</w:t>
            </w:r>
          </w:p>
        </w:tc>
        <w:tc>
          <w:tcPr>
            <w:tcW w:type="dxa" w:w="2835"/>
            <w:shd w:val="clear" w:color="auto" w:fill="FFFFFF"/>
          </w:tcPr>
          <w:p>
            <w:r>
              <w:rPr>
                <w:rFonts w:ascii="Calibri" w:hAnsi="Calibri"/>
                <w:b w:val="0"/>
                <w:color w:val="1A1A1A"/>
                <w:sz w:val="17"/>
              </w:rPr>
              <w:t>2001–2004</w:t>
            </w:r>
          </w:p>
        </w:tc>
        <w:tc>
          <w:tcPr>
            <w:tcW w:type="dxa" w:w="1701"/>
            <w:shd w:val="clear" w:color="auto" w:fill="FFFFFF"/>
          </w:tcPr>
          <w:p>
            <w:r>
              <w:rPr>
                <w:rFonts w:ascii="Calibri" w:hAnsi="Calibri"/>
                <w:b w:val="0"/>
                <w:color w:val="1A1A1A"/>
                <w:sz w:val="17"/>
              </w:rPr>
              <w:t>02</w:t>
            </w:r>
          </w:p>
        </w:tc>
      </w:tr>
      <w:tr>
        <w:tc>
          <w:tcPr>
            <w:tcW w:type="dxa" w:w="3402"/>
            <w:shd w:val="clear" w:color="auto" w:fill="EAF7EE"/>
          </w:tcPr>
          <w:p>
            <w:r>
              <w:rPr>
                <w:rFonts w:ascii="Calibri" w:hAnsi="Calibri"/>
                <w:b w:val="0"/>
                <w:color w:val="1A1A1A"/>
                <w:sz w:val="17"/>
              </w:rPr>
              <w:t>Meghalaya</w:t>
            </w:r>
          </w:p>
        </w:tc>
        <w:tc>
          <w:tcPr>
            <w:tcW w:type="dxa" w:w="2835"/>
            <w:shd w:val="clear" w:color="auto" w:fill="EAF7EE"/>
          </w:tcPr>
          <w:p>
            <w:r>
              <w:rPr>
                <w:rFonts w:ascii="Calibri" w:hAnsi="Calibri"/>
                <w:b w:val="0"/>
                <w:color w:val="1A1A1A"/>
                <w:sz w:val="17"/>
              </w:rPr>
              <w:t>1997–2005</w:t>
            </w:r>
          </w:p>
        </w:tc>
        <w:tc>
          <w:tcPr>
            <w:tcW w:type="dxa" w:w="1701"/>
            <w:shd w:val="clear" w:color="auto" w:fill="EAF7EE"/>
          </w:tcPr>
          <w:p>
            <w:r>
              <w:rPr>
                <w:rFonts w:ascii="Calibri" w:hAnsi="Calibri"/>
                <w:b w:val="0"/>
                <w:color w:val="1A1A1A"/>
                <w:sz w:val="17"/>
              </w:rPr>
              <w:t>01</w:t>
            </w:r>
          </w:p>
        </w:tc>
      </w:tr>
      <w:tr>
        <w:tc>
          <w:tcPr>
            <w:tcW w:type="dxa" w:w="3402"/>
            <w:shd w:val="clear" w:color="auto" w:fill="FFFFFF"/>
          </w:tcPr>
          <w:p>
            <w:r>
              <w:rPr>
                <w:rFonts w:ascii="Calibri" w:hAnsi="Calibri"/>
                <w:b w:val="0"/>
                <w:color w:val="1A1A1A"/>
                <w:sz w:val="17"/>
              </w:rPr>
              <w:t>Tamil Nadu</w:t>
            </w:r>
          </w:p>
        </w:tc>
        <w:tc>
          <w:tcPr>
            <w:tcW w:type="dxa" w:w="2835"/>
            <w:shd w:val="clear" w:color="auto" w:fill="FFFFFF"/>
          </w:tcPr>
          <w:p>
            <w:r>
              <w:rPr>
                <w:rFonts w:ascii="Calibri" w:hAnsi="Calibri"/>
                <w:b w:val="0"/>
                <w:color w:val="1A1A1A"/>
                <w:sz w:val="17"/>
              </w:rPr>
              <w:t>1997–2005</w:t>
            </w:r>
          </w:p>
        </w:tc>
        <w:tc>
          <w:tcPr>
            <w:tcW w:type="dxa" w:w="1701"/>
            <w:shd w:val="clear" w:color="auto" w:fill="FFFFFF"/>
          </w:tcPr>
          <w:p>
            <w:r>
              <w:rPr>
                <w:rFonts w:ascii="Calibri" w:hAnsi="Calibri"/>
                <w:b w:val="0"/>
                <w:color w:val="1A1A1A"/>
                <w:sz w:val="17"/>
              </w:rPr>
              <w:t>01</w:t>
            </w:r>
          </w:p>
        </w:tc>
      </w:tr>
      <w:tr>
        <w:tc>
          <w:tcPr>
            <w:tcW w:type="dxa" w:w="3402"/>
            <w:shd w:val="clear" w:color="auto" w:fill="EAF7EE"/>
          </w:tcPr>
          <w:p>
            <w:r>
              <w:rPr>
                <w:rFonts w:ascii="Calibri" w:hAnsi="Calibri"/>
                <w:b w:val="0"/>
                <w:color w:val="1A1A1A"/>
                <w:sz w:val="17"/>
              </w:rPr>
              <w:t>TOTAL</w:t>
            </w:r>
          </w:p>
        </w:tc>
        <w:tc>
          <w:tcPr>
            <w:tcW w:type="dxa" w:w="2835"/>
            <w:shd w:val="clear" w:color="auto" w:fill="EAF7EE"/>
          </w:tcPr>
          <w:p>
            <w:r>
              <w:rPr>
                <w:rFonts w:ascii="Calibri" w:hAnsi="Calibri"/>
                <w:b w:val="0"/>
                <w:color w:val="1A1A1A"/>
                <w:sz w:val="17"/>
              </w:rPr>
              <w:t>1997–2005</w:t>
            </w:r>
          </w:p>
        </w:tc>
        <w:tc>
          <w:tcPr>
            <w:tcW w:type="dxa" w:w="1701"/>
            <w:shd w:val="clear" w:color="auto" w:fill="EAF7EE"/>
          </w:tcPr>
          <w:p>
            <w:r>
              <w:rPr>
                <w:rFonts w:ascii="Calibri" w:hAnsi="Calibri"/>
                <w:b w:val="0"/>
                <w:color w:val="1A1A1A"/>
                <w:sz w:val="17"/>
              </w:rPr>
              <w:t>49</w:t>
            </w:r>
          </w:p>
        </w:tc>
      </w:tr>
    </w:tbl>
    <w:p>
      <w:pPr>
        <w:spacing w:after="40"/>
      </w:pPr>
    </w:p>
    <w:p>
      <w:pPr>
        <w:spacing w:after="40"/>
        <w:ind w:left="283" w:hanging="170"/>
      </w:pPr>
      <w:r>
        <w:rPr>
          <w:rFonts w:ascii="Calibri" w:hAnsi="Calibri"/>
          <w:color w:val="1A1A1A"/>
          <w:sz w:val="19"/>
        </w:rPr>
        <w:t>•  Assam recorded the highest number of poisoning deaths (29 of 49 = 59%) — reflecting intense human-elephant conflict in tea-estate and agricultural landscapes</w:t>
      </w:r>
    </w:p>
    <w:p>
      <w:pPr>
        <w:spacing w:after="40"/>
        <w:ind w:left="283" w:hanging="170"/>
      </w:pPr>
      <w:r>
        <w:rPr>
          <w:rFonts w:ascii="Calibri" w:hAnsi="Calibri"/>
          <w:color w:val="1A1A1A"/>
          <w:sz w:val="19"/>
        </w:rPr>
        <w:t>•  Note: This dataset (1997–2005) represents DOCUMENTED cases only; actual figures are considered substantially higher due to under-reporting and undiagnosed deaths</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2.2  Three Categories of Elephant Toxicity</w:t>
            </w:r>
          </w:p>
        </w:tc>
      </w:tr>
    </w:tbl>
    <w:p>
      <w:pPr>
        <w:spacing w:after="40"/>
      </w:pPr>
    </w:p>
    <w:p>
      <w:pPr>
        <w:spacing w:after="80"/>
        <w:jc w:val="both"/>
      </w:pPr>
      <w:r>
        <w:rPr>
          <w:rFonts w:ascii="Calibri" w:hAnsi="Calibri"/>
          <w:b w:val="0"/>
          <w:i w:val="0"/>
          <w:color w:val="1A1A1A"/>
          <w:sz w:val="19"/>
        </w:rPr>
        <w:t>Elephant poisoning is often due to anthropogenic (human-caused) events and natural toxicities. Elephant toxicity primarily falls into three categories:</w:t>
      </w:r>
    </w:p>
    <w:tbl>
      <w:tblPr>
        <w:tblStyle w:val="TableGrid"/>
        <w:tblW w:type="auto" w:w="0"/>
        <w:tblLook w:firstColumn="1" w:firstRow="1" w:lastColumn="0" w:lastRow="0" w:noHBand="0" w:noVBand="1" w:val="04A0"/>
      </w:tblPr>
      <w:tblGrid>
        <w:gridCol w:w="3213"/>
        <w:gridCol w:w="3213"/>
        <w:gridCol w:w="3213"/>
      </w:tblGrid>
      <w:tr>
        <w:tc>
          <w:tcPr>
            <w:tcW w:type="dxa" w:w="2551"/>
            <w:shd w:val="clear" w:color="auto" w:fill="2D6A4F"/>
          </w:tcPr>
          <w:p>
            <w:pPr>
              <w:jc w:val="center"/>
            </w:pPr>
            <w:r>
              <w:rPr>
                <w:rFonts w:ascii="Calibri" w:hAnsi="Calibri"/>
                <w:b/>
                <w:color w:val="FFFFFF"/>
                <w:sz w:val="17"/>
              </w:rPr>
              <w:t>Category</w:t>
            </w:r>
          </w:p>
        </w:tc>
        <w:tc>
          <w:tcPr>
            <w:tcW w:type="dxa" w:w="3402"/>
            <w:shd w:val="clear" w:color="auto" w:fill="2D6A4F"/>
          </w:tcPr>
          <w:p>
            <w:pPr>
              <w:jc w:val="center"/>
            </w:pPr>
            <w:r>
              <w:rPr>
                <w:rFonts w:ascii="Calibri" w:hAnsi="Calibri"/>
                <w:b/>
                <w:color w:val="FFFFFF"/>
                <w:sz w:val="17"/>
              </w:rPr>
              <w:t>Description</w:t>
            </w:r>
          </w:p>
        </w:tc>
        <w:tc>
          <w:tcPr>
            <w:tcW w:type="dxa" w:w="3685"/>
            <w:shd w:val="clear" w:color="auto" w:fill="2D6A4F"/>
          </w:tcPr>
          <w:p>
            <w:pPr>
              <w:jc w:val="center"/>
            </w:pPr>
            <w:r>
              <w:rPr>
                <w:rFonts w:ascii="Calibri" w:hAnsi="Calibri"/>
                <w:b/>
                <w:color w:val="FFFFFF"/>
                <w:sz w:val="17"/>
              </w:rPr>
              <w:t>Examples</w:t>
            </w:r>
          </w:p>
        </w:tc>
      </w:tr>
      <w:tr>
        <w:tc>
          <w:tcPr>
            <w:tcW w:type="dxa" w:w="2551"/>
            <w:shd w:val="clear" w:color="auto" w:fill="FFFFFF"/>
          </w:tcPr>
          <w:p>
            <w:r>
              <w:rPr>
                <w:rFonts w:ascii="Calibri" w:hAnsi="Calibri"/>
                <w:b w:val="0"/>
                <w:color w:val="1A1A1A"/>
                <w:sz w:val="17"/>
              </w:rPr>
              <w:t>I. Agricultural / Plant Mycotoxins</w:t>
            </w:r>
          </w:p>
        </w:tc>
        <w:tc>
          <w:tcPr>
            <w:tcW w:type="dxa" w:w="3402"/>
            <w:shd w:val="clear" w:color="auto" w:fill="FFFFFF"/>
          </w:tcPr>
          <w:p>
            <w:r>
              <w:rPr>
                <w:rFonts w:ascii="Calibri" w:hAnsi="Calibri"/>
                <w:b w:val="0"/>
                <w:color w:val="1A1A1A"/>
                <w:sz w:val="17"/>
              </w:rPr>
              <w:t>Fungal toxins contaminating crops that elephants raid</w:t>
            </w:r>
          </w:p>
        </w:tc>
        <w:tc>
          <w:tcPr>
            <w:tcW w:type="dxa" w:w="3685"/>
            <w:shd w:val="clear" w:color="auto" w:fill="FFFFFF"/>
          </w:tcPr>
          <w:p>
            <w:r>
              <w:rPr>
                <w:rFonts w:ascii="Calibri" w:hAnsi="Calibri"/>
                <w:b w:val="0"/>
                <w:color w:val="1A1A1A"/>
                <w:sz w:val="17"/>
              </w:rPr>
              <w:t>Cyclopiazonic acid (CPA) on Kodo millet; aflatoxins</w:t>
            </w:r>
          </w:p>
        </w:tc>
      </w:tr>
      <w:tr>
        <w:tc>
          <w:tcPr>
            <w:tcW w:type="dxa" w:w="2551"/>
            <w:shd w:val="clear" w:color="auto" w:fill="EAF7EE"/>
          </w:tcPr>
          <w:p>
            <w:r>
              <w:rPr>
                <w:rFonts w:ascii="Calibri" w:hAnsi="Calibri"/>
                <w:b w:val="0"/>
                <w:color w:val="1A1A1A"/>
                <w:sz w:val="17"/>
              </w:rPr>
              <w:t>II. Human-Wildlife Conflict Chemicals</w:t>
            </w:r>
          </w:p>
        </w:tc>
        <w:tc>
          <w:tcPr>
            <w:tcW w:type="dxa" w:w="3402"/>
            <w:shd w:val="clear" w:color="auto" w:fill="EAF7EE"/>
          </w:tcPr>
          <w:p>
            <w:r>
              <w:rPr>
                <w:rFonts w:ascii="Calibri" w:hAnsi="Calibri"/>
                <w:b w:val="0"/>
                <w:color w:val="1A1A1A"/>
                <w:sz w:val="17"/>
              </w:rPr>
              <w:t>Deliberately or accidentally deployed chemicals</w:t>
            </w:r>
          </w:p>
        </w:tc>
        <w:tc>
          <w:tcPr>
            <w:tcW w:type="dxa" w:w="3685"/>
            <w:shd w:val="clear" w:color="auto" w:fill="EAF7EE"/>
          </w:tcPr>
          <w:p>
            <w:r>
              <w:rPr>
                <w:rFonts w:ascii="Calibri" w:hAnsi="Calibri"/>
                <w:b w:val="0"/>
                <w:color w:val="1A1A1A"/>
                <w:sz w:val="17"/>
              </w:rPr>
              <w:t>Pesticides (organophosphates, carbamates), cyanide, urea</w:t>
            </w:r>
          </w:p>
        </w:tc>
      </w:tr>
      <w:tr>
        <w:tc>
          <w:tcPr>
            <w:tcW w:type="dxa" w:w="2551"/>
            <w:shd w:val="clear" w:color="auto" w:fill="FFFFFF"/>
          </w:tcPr>
          <w:p>
            <w:r>
              <w:rPr>
                <w:rFonts w:ascii="Calibri" w:hAnsi="Calibri"/>
                <w:b w:val="0"/>
                <w:color w:val="1A1A1A"/>
                <w:sz w:val="17"/>
              </w:rPr>
              <w:t>III. Environmental Toxins</w:t>
            </w:r>
          </w:p>
        </w:tc>
        <w:tc>
          <w:tcPr>
            <w:tcW w:type="dxa" w:w="3402"/>
            <w:shd w:val="clear" w:color="auto" w:fill="FFFFFF"/>
          </w:tcPr>
          <w:p>
            <w:r>
              <w:rPr>
                <w:rFonts w:ascii="Calibri" w:hAnsi="Calibri"/>
                <w:b w:val="0"/>
                <w:color w:val="1A1A1A"/>
                <w:sz w:val="17"/>
              </w:rPr>
              <w:t>Naturally occurring toxins in environment</w:t>
            </w:r>
          </w:p>
        </w:tc>
        <w:tc>
          <w:tcPr>
            <w:tcW w:type="dxa" w:w="3685"/>
            <w:shd w:val="clear" w:color="auto" w:fill="FFFFFF"/>
          </w:tcPr>
          <w:p>
            <w:r>
              <w:rPr>
                <w:rFonts w:ascii="Calibri" w:hAnsi="Calibri"/>
                <w:b w:val="0"/>
                <w:color w:val="1A1A1A"/>
                <w:sz w:val="17"/>
              </w:rPr>
              <w:t>Cyanobacterial blooms (blue-green algae); toxic plants; heavy metals</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D8F3DC"/>
          </w:tcPr>
          <w:p>
            <w:pPr>
              <w:spacing w:before="100" w:after="100"/>
            </w:pPr>
            <w:r>
              <w:rPr>
                <w:rFonts w:ascii="Calibri" w:hAnsi="Calibri"/>
                <w:b/>
                <w:color w:val="1B4332"/>
                <w:sz w:val="18"/>
              </w:rPr>
              <w:t>WHY ELEPHANTS ARE HIGHLY SUSCEPTIBLE: Elephants are BULK FORAGERS — they consume enormous quantities of vegetation (150–300 kg/day) and water (100–200 L/day). This high intake means that even toxins present at low environmental concentrations can be ingested in lethal total doses. Their hindgut fermentation also generates and releases toxins (e.g., HCN from cyanogenic glycosides) over an extended period.</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2.3  National Mortality Data — Unnatural Causes (Lok Sabha, 2024)</w:t>
            </w:r>
          </w:p>
        </w:tc>
      </w:tr>
    </w:tbl>
    <w:p>
      <w:pPr>
        <w:spacing w:after="40"/>
      </w:pPr>
    </w:p>
    <w:p>
      <w:pPr>
        <w:spacing w:after="80"/>
        <w:jc w:val="both"/>
      </w:pPr>
      <w:r>
        <w:rPr>
          <w:rFonts w:ascii="Calibri" w:hAnsi="Calibri"/>
          <w:b w:val="0"/>
          <w:i w:val="0"/>
          <w:color w:val="1A1A1A"/>
          <w:sz w:val="19"/>
        </w:rPr>
        <w:t>Government data tabled in the Lok Sabha in July 2024 quantified elephant deaths from unnatural causes over a five-year period. These figures place poisoning in its proper context relative to the dominant unnatural killers — electrocution and train accidents:</w:t>
      </w:r>
    </w:p>
    <w:tbl>
      <w:tblPr>
        <w:tblStyle w:val="TableGrid"/>
        <w:tblW w:type="auto" w:w="0"/>
        <w:tblLook w:firstColumn="1" w:firstRow="1" w:lastColumn="0" w:lastRow="0" w:noHBand="0" w:noVBand="1" w:val="04A0"/>
      </w:tblPr>
      <w:tblGrid>
        <w:gridCol w:w="2409"/>
        <w:gridCol w:w="2409"/>
        <w:gridCol w:w="2409"/>
        <w:gridCol w:w="2409"/>
      </w:tblGrid>
      <w:tr>
        <w:tc>
          <w:tcPr>
            <w:tcW w:type="dxa" w:w="1984"/>
            <w:shd w:val="clear" w:color="auto" w:fill="2D6A4F"/>
          </w:tcPr>
          <w:p>
            <w:pPr>
              <w:jc w:val="center"/>
            </w:pPr>
            <w:r>
              <w:rPr>
                <w:rFonts w:ascii="Calibri" w:hAnsi="Calibri"/>
                <w:b/>
                <w:color w:val="FFFFFF"/>
                <w:sz w:val="17"/>
              </w:rPr>
              <w:t>Unnatural Cause</w:t>
            </w:r>
          </w:p>
        </w:tc>
        <w:tc>
          <w:tcPr>
            <w:tcW w:type="dxa" w:w="1134"/>
            <w:shd w:val="clear" w:color="auto" w:fill="2D6A4F"/>
          </w:tcPr>
          <w:p>
            <w:pPr>
              <w:jc w:val="center"/>
            </w:pPr>
            <w:r>
              <w:rPr>
                <w:rFonts w:ascii="Calibri" w:hAnsi="Calibri"/>
                <w:b/>
                <w:color w:val="FFFFFF"/>
                <w:sz w:val="17"/>
              </w:rPr>
              <w:t>Deaths (5 yrs)</w:t>
            </w:r>
          </w:p>
        </w:tc>
        <w:tc>
          <w:tcPr>
            <w:tcW w:type="dxa" w:w="850"/>
            <w:shd w:val="clear" w:color="auto" w:fill="2D6A4F"/>
          </w:tcPr>
          <w:p>
            <w:pPr>
              <w:jc w:val="center"/>
            </w:pPr>
            <w:r>
              <w:rPr>
                <w:rFonts w:ascii="Calibri" w:hAnsi="Calibri"/>
                <w:b/>
                <w:color w:val="FFFFFF"/>
                <w:sz w:val="17"/>
              </w:rPr>
              <w:t>Share</w:t>
            </w:r>
          </w:p>
        </w:tc>
        <w:tc>
          <w:tcPr>
            <w:tcW w:type="dxa" w:w="5386"/>
            <w:shd w:val="clear" w:color="auto" w:fill="2D6A4F"/>
          </w:tcPr>
          <w:p>
            <w:pPr>
              <w:jc w:val="center"/>
            </w:pPr>
            <w:r>
              <w:rPr>
                <w:rFonts w:ascii="Calibri" w:hAnsi="Calibri"/>
                <w:b/>
                <w:color w:val="FFFFFF"/>
                <w:sz w:val="17"/>
              </w:rPr>
              <w:t>Worst-Affected States</w:t>
            </w:r>
          </w:p>
        </w:tc>
      </w:tr>
      <w:tr>
        <w:tc>
          <w:tcPr>
            <w:tcW w:type="dxa" w:w="1984"/>
            <w:shd w:val="clear" w:color="auto" w:fill="FFFFFF"/>
          </w:tcPr>
          <w:p>
            <w:r>
              <w:rPr>
                <w:rFonts w:ascii="Calibri" w:hAnsi="Calibri"/>
                <w:b w:val="0"/>
                <w:color w:val="1A1A1A"/>
                <w:sz w:val="17"/>
              </w:rPr>
              <w:t>Electrocution</w:t>
            </w:r>
          </w:p>
        </w:tc>
        <w:tc>
          <w:tcPr>
            <w:tcW w:type="dxa" w:w="1134"/>
            <w:shd w:val="clear" w:color="auto" w:fill="FFFFFF"/>
          </w:tcPr>
          <w:p>
            <w:r>
              <w:rPr>
                <w:rFonts w:ascii="Calibri" w:hAnsi="Calibri"/>
                <w:b w:val="0"/>
                <w:color w:val="1A1A1A"/>
                <w:sz w:val="17"/>
              </w:rPr>
              <w:t>392</w:t>
            </w:r>
          </w:p>
        </w:tc>
        <w:tc>
          <w:tcPr>
            <w:tcW w:type="dxa" w:w="850"/>
            <w:shd w:val="clear" w:color="auto" w:fill="FFFFFF"/>
          </w:tcPr>
          <w:p>
            <w:r>
              <w:rPr>
                <w:rFonts w:ascii="Calibri" w:hAnsi="Calibri"/>
                <w:b w:val="0"/>
                <w:color w:val="1A1A1A"/>
                <w:sz w:val="17"/>
              </w:rPr>
              <w:t>74.2%</w:t>
            </w:r>
          </w:p>
        </w:tc>
        <w:tc>
          <w:tcPr>
            <w:tcW w:type="dxa" w:w="5386"/>
            <w:shd w:val="clear" w:color="auto" w:fill="FFFFFF"/>
          </w:tcPr>
          <w:p>
            <w:r>
              <w:rPr>
                <w:rFonts w:ascii="Calibri" w:hAnsi="Calibri"/>
                <w:b w:val="0"/>
                <w:color w:val="1A1A1A"/>
                <w:sz w:val="17"/>
              </w:rPr>
              <w:t>Odisha 71, Assam 55, Karnataka 52, Tamil Nadu 49, Chhattisgarh 32, Jharkhand 30, Kerala 29</w:t>
            </w:r>
          </w:p>
        </w:tc>
      </w:tr>
      <w:tr>
        <w:tc>
          <w:tcPr>
            <w:tcW w:type="dxa" w:w="1984"/>
            <w:shd w:val="clear" w:color="auto" w:fill="EAF7EE"/>
          </w:tcPr>
          <w:p>
            <w:r>
              <w:rPr>
                <w:rFonts w:ascii="Calibri" w:hAnsi="Calibri"/>
                <w:b w:val="0"/>
                <w:color w:val="1A1A1A"/>
                <w:sz w:val="17"/>
              </w:rPr>
              <w:t>Train accidents</w:t>
            </w:r>
          </w:p>
        </w:tc>
        <w:tc>
          <w:tcPr>
            <w:tcW w:type="dxa" w:w="1134"/>
            <w:shd w:val="clear" w:color="auto" w:fill="EAF7EE"/>
          </w:tcPr>
          <w:p>
            <w:r>
              <w:rPr>
                <w:rFonts w:ascii="Calibri" w:hAnsi="Calibri"/>
                <w:b w:val="0"/>
                <w:color w:val="1A1A1A"/>
                <w:sz w:val="17"/>
              </w:rPr>
              <w:t>73</w:t>
            </w:r>
          </w:p>
        </w:tc>
        <w:tc>
          <w:tcPr>
            <w:tcW w:type="dxa" w:w="850"/>
            <w:shd w:val="clear" w:color="auto" w:fill="EAF7EE"/>
          </w:tcPr>
          <w:p>
            <w:r>
              <w:rPr>
                <w:rFonts w:ascii="Calibri" w:hAnsi="Calibri"/>
                <w:b w:val="0"/>
                <w:color w:val="1A1A1A"/>
                <w:sz w:val="17"/>
              </w:rPr>
              <w:t>13.8%</w:t>
            </w:r>
          </w:p>
        </w:tc>
        <w:tc>
          <w:tcPr>
            <w:tcW w:type="dxa" w:w="5386"/>
            <w:shd w:val="clear" w:color="auto" w:fill="EAF7EE"/>
          </w:tcPr>
          <w:p>
            <w:r>
              <w:rPr>
                <w:rFonts w:ascii="Calibri" w:hAnsi="Calibri"/>
                <w:b w:val="0"/>
                <w:color w:val="1A1A1A"/>
                <w:sz w:val="17"/>
              </w:rPr>
              <w:t>Assam 22, Odisha 16</w:t>
            </w:r>
          </w:p>
        </w:tc>
      </w:tr>
      <w:tr>
        <w:tc>
          <w:tcPr>
            <w:tcW w:type="dxa" w:w="1984"/>
            <w:shd w:val="clear" w:color="auto" w:fill="FFFFFF"/>
          </w:tcPr>
          <w:p>
            <w:r>
              <w:rPr>
                <w:rFonts w:ascii="Calibri" w:hAnsi="Calibri"/>
                <w:b w:val="0"/>
                <w:color w:val="1A1A1A"/>
                <w:sz w:val="17"/>
              </w:rPr>
              <w:t>Poaching</w:t>
            </w:r>
          </w:p>
        </w:tc>
        <w:tc>
          <w:tcPr>
            <w:tcW w:type="dxa" w:w="1134"/>
            <w:shd w:val="clear" w:color="auto" w:fill="FFFFFF"/>
          </w:tcPr>
          <w:p>
            <w:r>
              <w:rPr>
                <w:rFonts w:ascii="Calibri" w:hAnsi="Calibri"/>
                <w:b w:val="0"/>
                <w:color w:val="1A1A1A"/>
                <w:sz w:val="17"/>
              </w:rPr>
              <w:t>50</w:t>
            </w:r>
          </w:p>
        </w:tc>
        <w:tc>
          <w:tcPr>
            <w:tcW w:type="dxa" w:w="850"/>
            <w:shd w:val="clear" w:color="auto" w:fill="FFFFFF"/>
          </w:tcPr>
          <w:p>
            <w:r>
              <w:rPr>
                <w:rFonts w:ascii="Calibri" w:hAnsi="Calibri"/>
                <w:b w:val="0"/>
                <w:color w:val="1A1A1A"/>
                <w:sz w:val="17"/>
              </w:rPr>
              <w:t>9.5%</w:t>
            </w:r>
          </w:p>
        </w:tc>
        <w:tc>
          <w:tcPr>
            <w:tcW w:type="dxa" w:w="5386"/>
            <w:shd w:val="clear" w:color="auto" w:fill="FFFFFF"/>
          </w:tcPr>
          <w:p>
            <w:r>
              <w:rPr>
                <w:rFonts w:ascii="Calibri" w:hAnsi="Calibri"/>
                <w:b w:val="0"/>
                <w:color w:val="1A1A1A"/>
                <w:sz w:val="17"/>
              </w:rPr>
              <w:t>Odisha 17, Meghalaya 14, Tamil Nadu 10</w:t>
            </w:r>
          </w:p>
        </w:tc>
      </w:tr>
      <w:tr>
        <w:tc>
          <w:tcPr>
            <w:tcW w:type="dxa" w:w="1984"/>
            <w:shd w:val="clear" w:color="auto" w:fill="EAF7EE"/>
          </w:tcPr>
          <w:p>
            <w:r>
              <w:rPr>
                <w:rFonts w:ascii="Calibri" w:hAnsi="Calibri"/>
                <w:b w:val="0"/>
                <w:color w:val="1A1A1A"/>
                <w:sz w:val="17"/>
              </w:rPr>
              <w:t>Poisoning</w:t>
            </w:r>
          </w:p>
        </w:tc>
        <w:tc>
          <w:tcPr>
            <w:tcW w:type="dxa" w:w="1134"/>
            <w:shd w:val="clear" w:color="auto" w:fill="EAF7EE"/>
          </w:tcPr>
          <w:p>
            <w:r>
              <w:rPr>
                <w:rFonts w:ascii="Calibri" w:hAnsi="Calibri"/>
                <w:b w:val="0"/>
                <w:color w:val="1A1A1A"/>
                <w:sz w:val="17"/>
              </w:rPr>
              <w:t>13</w:t>
            </w:r>
          </w:p>
        </w:tc>
        <w:tc>
          <w:tcPr>
            <w:tcW w:type="dxa" w:w="850"/>
            <w:shd w:val="clear" w:color="auto" w:fill="EAF7EE"/>
          </w:tcPr>
          <w:p>
            <w:r>
              <w:rPr>
                <w:rFonts w:ascii="Calibri" w:hAnsi="Calibri"/>
                <w:b w:val="0"/>
                <w:color w:val="1A1A1A"/>
                <w:sz w:val="17"/>
              </w:rPr>
              <w:t>2.5%</w:t>
            </w:r>
          </w:p>
        </w:tc>
        <w:tc>
          <w:tcPr>
            <w:tcW w:type="dxa" w:w="5386"/>
            <w:shd w:val="clear" w:color="auto" w:fill="EAF7EE"/>
          </w:tcPr>
          <w:p>
            <w:r>
              <w:rPr>
                <w:rFonts w:ascii="Calibri" w:hAnsi="Calibri"/>
                <w:b w:val="0"/>
                <w:color w:val="1A1A1A"/>
                <w:sz w:val="17"/>
              </w:rPr>
              <w:t>Assam 10, Chhattisgarh 2, West Bengal 1</w:t>
            </w:r>
          </w:p>
        </w:tc>
      </w:tr>
      <w:tr>
        <w:tc>
          <w:tcPr>
            <w:tcW w:type="dxa" w:w="1984"/>
            <w:shd w:val="clear" w:color="auto" w:fill="FFFFFF"/>
          </w:tcPr>
          <w:p>
            <w:r>
              <w:rPr>
                <w:rFonts w:ascii="Calibri" w:hAnsi="Calibri"/>
                <w:b w:val="0"/>
                <w:color w:val="1A1A1A"/>
                <w:sz w:val="17"/>
              </w:rPr>
              <w:t>TOTAL UNNATURAL</w:t>
            </w:r>
          </w:p>
        </w:tc>
        <w:tc>
          <w:tcPr>
            <w:tcW w:type="dxa" w:w="1134"/>
            <w:shd w:val="clear" w:color="auto" w:fill="FFFFFF"/>
          </w:tcPr>
          <w:p>
            <w:r>
              <w:rPr>
                <w:rFonts w:ascii="Calibri" w:hAnsi="Calibri"/>
                <w:b w:val="0"/>
                <w:color w:val="1A1A1A"/>
                <w:sz w:val="17"/>
              </w:rPr>
              <w:t>528</w:t>
            </w:r>
          </w:p>
        </w:tc>
        <w:tc>
          <w:tcPr>
            <w:tcW w:type="dxa" w:w="850"/>
            <w:shd w:val="clear" w:color="auto" w:fill="FFFFFF"/>
          </w:tcPr>
          <w:p>
            <w:r>
              <w:rPr>
                <w:rFonts w:ascii="Calibri" w:hAnsi="Calibri"/>
                <w:b w:val="0"/>
                <w:color w:val="1A1A1A"/>
                <w:sz w:val="17"/>
              </w:rPr>
              <w:t>100%</w:t>
            </w:r>
          </w:p>
        </w:tc>
        <w:tc>
          <w:tcPr>
            <w:tcW w:type="dxa" w:w="5386"/>
            <w:shd w:val="clear" w:color="auto" w:fill="FFFFFF"/>
          </w:tcPr>
          <w:p>
            <w:r>
              <w:rPr>
                <w:rFonts w:ascii="Calibri" w:hAnsi="Calibri"/>
                <w:b w:val="0"/>
                <w:color w:val="1A1A1A"/>
                <w:sz w:val="17"/>
              </w:rPr>
              <w:t>All India</w:t>
            </w:r>
          </w:p>
        </w:tc>
      </w:tr>
    </w:tbl>
    <w:p>
      <w:pPr>
        <w:spacing w:after="40"/>
      </w:pPr>
    </w:p>
    <w:p>
      <w:pPr>
        <w:spacing w:after="40"/>
        <w:ind w:left="283" w:hanging="170"/>
      </w:pPr>
      <w:r>
        <w:rPr>
          <w:rFonts w:ascii="Calibri" w:hAnsi="Calibri"/>
          <w:color w:val="1A1A1A"/>
          <w:sz w:val="19"/>
        </w:rPr>
        <w:t>•  ELECTROCUTION dominates — 392 of 528 (74%) of all unnatural elephant deaths; see Section 6</w:t>
      </w:r>
    </w:p>
    <w:p>
      <w:pPr>
        <w:spacing w:after="40"/>
        <w:ind w:left="283" w:hanging="170"/>
      </w:pPr>
      <w:r>
        <w:rPr>
          <w:rFonts w:ascii="Calibri" w:hAnsi="Calibri"/>
          <w:color w:val="1A1A1A"/>
          <w:sz w:val="19"/>
        </w:rPr>
        <w:t>•  POPULATION CONTEXT: The 2017 all-India synchronised census recorded 29,964 wild elephants — approximately 60% of the global wild Asian elephant population</w:t>
      </w:r>
    </w:p>
    <w:p>
      <w:pPr>
        <w:spacing w:after="40"/>
        <w:ind w:left="283" w:hanging="170"/>
      </w:pPr>
      <w:r>
        <w:rPr>
          <w:rFonts w:ascii="Calibri" w:hAnsi="Calibri"/>
          <w:color w:val="1A1A1A"/>
          <w:sz w:val="19"/>
        </w:rPr>
        <w:t>•  Chhattisgarh appears in the worst-affected list for both electrocution (32) and poisoning (2) — directly relevant to this training program</w:t>
      </w:r>
    </w:p>
    <w:p>
      <w:pPr>
        <w:spacing w:after="40"/>
        <w:ind w:left="283" w:hanging="170"/>
      </w:pPr>
      <w:r>
        <w:rPr>
          <w:rFonts w:ascii="Calibri" w:hAnsi="Calibri"/>
          <w:color w:val="1A1A1A"/>
          <w:sz w:val="19"/>
        </w:rPr>
        <w:t>•  NOTE: Ministry tallies are periodically revised; figures here reflect the July 2024 Lok Sabha reply (Source: Business Standard / The Week reporting of Lok Sabha Unstarred Question data)</w:t>
      </w:r>
    </w:p>
    <w:p>
      <w:pPr>
        <w:spacing w:before="0" w:after="0"/>
      </w:pPr>
      <w:r>
        <w:br w:type="page"/>
      </w:r>
    </w:p>
    <w:tbl>
      <w:tblPr>
        <w:tblStyle w:val="TableGrid"/>
        <w:tblW w:type="auto" w:w="0"/>
        <w:tblLook w:firstColumn="1" w:firstRow="1" w:lastColumn="0" w:lastRow="0" w:noHBand="0" w:noVBand="1" w:val="04A0"/>
      </w:tblPr>
      <w:tblGrid>
        <w:gridCol w:w="9638"/>
      </w:tblGrid>
      <w:tr>
        <w:tc>
          <w:tcPr>
            <w:tcW w:type="dxa" w:w="9638"/>
            <w:shd w:val="clear" w:color="auto" w:fill="1B4332"/>
          </w:tcPr>
          <w:p>
            <w:pPr>
              <w:spacing w:before="160" w:after="160"/>
            </w:pPr>
            <w:r>
              <w:rPr>
                <w:rFonts w:ascii="Calibri" w:hAnsi="Calibri"/>
                <w:b/>
                <w:color w:val="FFFFFF"/>
                <w:sz w:val="26"/>
              </w:rPr>
              <w:t>3.  Anthropogenic Poisons</w:t>
            </w:r>
          </w:p>
        </w:tc>
      </w:tr>
    </w:tbl>
    <w:p>
      <w:pPr>
        <w:spacing w:after="40"/>
      </w:pPr>
    </w:p>
    <w:p>
      <w:pPr>
        <w:spacing w:after="80"/>
        <w:jc w:val="both"/>
      </w:pPr>
      <w:r>
        <w:rPr>
          <w:rFonts w:ascii="Calibri" w:hAnsi="Calibri"/>
          <w:b w:val="0"/>
          <w:i w:val="0"/>
          <w:color w:val="1A1A1A"/>
          <w:sz w:val="19"/>
        </w:rPr>
        <w:t>Human-elephant conflict may result in intentional or accidental poisonings. The principal anthropogenic poisons affecting elephants are agrochemicals, cyanide, and fertilizers/heavy metals.</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3.1  Agrochemicals — Pesticides</w:t>
            </w:r>
          </w:p>
        </w:tc>
      </w:tr>
    </w:tbl>
    <w:p>
      <w:pPr>
        <w:spacing w:after="40"/>
      </w:pPr>
    </w:p>
    <w:p>
      <w:pPr>
        <w:spacing w:after="40"/>
        <w:ind w:left="283" w:hanging="170"/>
      </w:pPr>
      <w:r>
        <w:rPr>
          <w:rFonts w:ascii="Calibri" w:hAnsi="Calibri"/>
          <w:color w:val="1A1A1A"/>
          <w:sz w:val="19"/>
        </w:rPr>
        <w:t>•  Elephants raiding crops/plantations consume dangerous levels of agrochemicals; pesticides are also used DELIBERATELY in baits (laced crops, fruit, salt) for retaliatory killing and poaching</w:t>
      </w:r>
    </w:p>
    <w:p>
      <w:pPr>
        <w:spacing w:after="40"/>
        <w:ind w:left="283" w:hanging="170"/>
      </w:pPr>
      <w:r>
        <w:rPr>
          <w:rFonts w:ascii="Calibri" w:hAnsi="Calibri"/>
          <w:color w:val="1A1A1A"/>
          <w:sz w:val="19"/>
        </w:rPr>
        <w:t>•  Most are deadly NEUROTOXINS: organophosphates (OPs) and carbamates; newer neonicotinoids also implicated</w:t>
      </w:r>
    </w:p>
    <w:p>
      <w:pPr>
        <w:spacing w:before="60" w:after="20"/>
      </w:pPr>
      <w:r>
        <w:rPr>
          <w:rFonts w:ascii="Calibri" w:hAnsi="Calibri"/>
          <w:b/>
          <w:color w:val="2D6A4F"/>
          <w:sz w:val="20"/>
        </w:rPr>
        <w:t>Specific Compounds Implicated in Indian Wildlife Poisoning:</w:t>
      </w:r>
    </w:p>
    <w:tbl>
      <w:tblPr>
        <w:tblStyle w:val="TableGrid"/>
        <w:tblW w:type="auto" w:w="0"/>
        <w:tblLook w:firstColumn="1" w:firstRow="1" w:lastColumn="0" w:lastRow="0" w:noHBand="0" w:noVBand="1" w:val="04A0"/>
      </w:tblPr>
      <w:tblGrid>
        <w:gridCol w:w="3213"/>
        <w:gridCol w:w="3213"/>
        <w:gridCol w:w="3213"/>
      </w:tblGrid>
      <w:tr>
        <w:tc>
          <w:tcPr>
            <w:tcW w:type="dxa" w:w="1984"/>
            <w:shd w:val="clear" w:color="auto" w:fill="2D6A4F"/>
          </w:tcPr>
          <w:p>
            <w:pPr>
              <w:jc w:val="center"/>
            </w:pPr>
            <w:r>
              <w:rPr>
                <w:rFonts w:ascii="Calibri" w:hAnsi="Calibri"/>
                <w:b/>
                <w:color w:val="FFFFFF"/>
                <w:sz w:val="17"/>
              </w:rPr>
              <w:t>Compound</w:t>
            </w:r>
          </w:p>
        </w:tc>
        <w:tc>
          <w:tcPr>
            <w:tcW w:type="dxa" w:w="1417"/>
            <w:shd w:val="clear" w:color="auto" w:fill="2D6A4F"/>
          </w:tcPr>
          <w:p>
            <w:pPr>
              <w:jc w:val="center"/>
            </w:pPr>
            <w:r>
              <w:rPr>
                <w:rFonts w:ascii="Calibri" w:hAnsi="Calibri"/>
                <w:b/>
                <w:color w:val="FFFFFF"/>
                <w:sz w:val="17"/>
              </w:rPr>
              <w:t>Class</w:t>
            </w:r>
          </w:p>
        </w:tc>
        <w:tc>
          <w:tcPr>
            <w:tcW w:type="dxa" w:w="6236"/>
            <w:shd w:val="clear" w:color="auto" w:fill="2D6A4F"/>
          </w:tcPr>
          <w:p>
            <w:pPr>
              <w:jc w:val="center"/>
            </w:pPr>
            <w:r>
              <w:rPr>
                <w:rFonts w:ascii="Calibri" w:hAnsi="Calibri"/>
                <w:b/>
                <w:color w:val="FFFFFF"/>
                <w:sz w:val="17"/>
              </w:rPr>
              <w:t>Toxicity / Notes</w:t>
            </w:r>
          </w:p>
        </w:tc>
      </w:tr>
      <w:tr>
        <w:tc>
          <w:tcPr>
            <w:tcW w:type="dxa" w:w="1984"/>
            <w:shd w:val="clear" w:color="auto" w:fill="FFFFFF"/>
          </w:tcPr>
          <w:p>
            <w:r>
              <w:rPr>
                <w:rFonts w:ascii="Calibri" w:hAnsi="Calibri"/>
                <w:b w:val="0"/>
                <w:color w:val="1A1A1A"/>
                <w:sz w:val="17"/>
              </w:rPr>
              <w:t>Carbofuran ("Furadan")</w:t>
            </w:r>
          </w:p>
        </w:tc>
        <w:tc>
          <w:tcPr>
            <w:tcW w:type="dxa" w:w="1417"/>
            <w:shd w:val="clear" w:color="auto" w:fill="FFFFFF"/>
          </w:tcPr>
          <w:p>
            <w:r>
              <w:rPr>
                <w:rFonts w:ascii="Calibri" w:hAnsi="Calibri"/>
                <w:b w:val="0"/>
                <w:color w:val="1A1A1A"/>
                <w:sz w:val="17"/>
              </w:rPr>
              <w:t>Carbamate</w:t>
            </w:r>
          </w:p>
        </w:tc>
        <w:tc>
          <w:tcPr>
            <w:tcW w:type="dxa" w:w="6236"/>
            <w:shd w:val="clear" w:color="auto" w:fill="FFFFFF"/>
          </w:tcPr>
          <w:p>
            <w:r>
              <w:rPr>
                <w:rFonts w:ascii="Calibri" w:hAnsi="Calibri"/>
                <w:b w:val="0"/>
                <w:color w:val="1A1A1A"/>
                <w:sz w:val="17"/>
              </w:rPr>
              <w:t>Granular; widely available (esp. Kerala); a LEADING agent in deliberate wildlife baiting</w:t>
            </w:r>
          </w:p>
        </w:tc>
      </w:tr>
      <w:tr>
        <w:tc>
          <w:tcPr>
            <w:tcW w:type="dxa" w:w="1984"/>
            <w:shd w:val="clear" w:color="auto" w:fill="EAF7EE"/>
          </w:tcPr>
          <w:p>
            <w:r>
              <w:rPr>
                <w:rFonts w:ascii="Calibri" w:hAnsi="Calibri"/>
                <w:b w:val="0"/>
                <w:color w:val="1A1A1A"/>
                <w:sz w:val="17"/>
              </w:rPr>
              <w:t>Monocrotophos</w:t>
            </w:r>
          </w:p>
        </w:tc>
        <w:tc>
          <w:tcPr>
            <w:tcW w:type="dxa" w:w="1417"/>
            <w:shd w:val="clear" w:color="auto" w:fill="EAF7EE"/>
          </w:tcPr>
          <w:p>
            <w:r>
              <w:rPr>
                <w:rFonts w:ascii="Calibri" w:hAnsi="Calibri"/>
                <w:b w:val="0"/>
                <w:color w:val="1A1A1A"/>
                <w:sz w:val="17"/>
              </w:rPr>
              <w:t>Organophosphate</w:t>
            </w:r>
          </w:p>
        </w:tc>
        <w:tc>
          <w:tcPr>
            <w:tcW w:type="dxa" w:w="6236"/>
            <w:shd w:val="clear" w:color="auto" w:fill="EAF7EE"/>
          </w:tcPr>
          <w:p>
            <w:r>
              <w:rPr>
                <w:rFonts w:ascii="Calibri" w:hAnsi="Calibri"/>
                <w:b w:val="0"/>
                <w:color w:val="1A1A1A"/>
                <w:sz w:val="17"/>
              </w:rPr>
              <w:t>Highly toxic — mammalian oral LD50 ~18–20 mg/kg; common in Indian poisonings; used on grain baits</w:t>
            </w:r>
          </w:p>
        </w:tc>
      </w:tr>
      <w:tr>
        <w:tc>
          <w:tcPr>
            <w:tcW w:type="dxa" w:w="1984"/>
            <w:shd w:val="clear" w:color="auto" w:fill="FFFFFF"/>
          </w:tcPr>
          <w:p>
            <w:r>
              <w:rPr>
                <w:rFonts w:ascii="Calibri" w:hAnsi="Calibri"/>
                <w:b w:val="0"/>
                <w:color w:val="1A1A1A"/>
                <w:sz w:val="17"/>
              </w:rPr>
              <w:t>Aldicarb ("Temik")</w:t>
            </w:r>
          </w:p>
        </w:tc>
        <w:tc>
          <w:tcPr>
            <w:tcW w:type="dxa" w:w="1417"/>
            <w:shd w:val="clear" w:color="auto" w:fill="FFFFFF"/>
          </w:tcPr>
          <w:p>
            <w:r>
              <w:rPr>
                <w:rFonts w:ascii="Calibri" w:hAnsi="Calibri"/>
                <w:b w:val="0"/>
                <w:color w:val="1A1A1A"/>
                <w:sz w:val="17"/>
              </w:rPr>
              <w:t>Carbamate</w:t>
            </w:r>
          </w:p>
        </w:tc>
        <w:tc>
          <w:tcPr>
            <w:tcW w:type="dxa" w:w="6236"/>
            <w:shd w:val="clear" w:color="auto" w:fill="FFFFFF"/>
          </w:tcPr>
          <w:p>
            <w:r>
              <w:rPr>
                <w:rFonts w:ascii="Calibri" w:hAnsi="Calibri"/>
                <w:b w:val="0"/>
                <w:color w:val="1A1A1A"/>
                <w:sz w:val="17"/>
              </w:rPr>
              <w:t>One of the MOST acutely toxic carbamates; used in baiting</w:t>
            </w:r>
          </w:p>
        </w:tc>
      </w:tr>
      <w:tr>
        <w:tc>
          <w:tcPr>
            <w:tcW w:type="dxa" w:w="1984"/>
            <w:shd w:val="clear" w:color="auto" w:fill="EAF7EE"/>
          </w:tcPr>
          <w:p>
            <w:r>
              <w:rPr>
                <w:rFonts w:ascii="Calibri" w:hAnsi="Calibri"/>
                <w:b w:val="0"/>
                <w:color w:val="1A1A1A"/>
                <w:sz w:val="17"/>
              </w:rPr>
              <w:t>Chlorpyrifos</w:t>
            </w:r>
          </w:p>
        </w:tc>
        <w:tc>
          <w:tcPr>
            <w:tcW w:type="dxa" w:w="1417"/>
            <w:shd w:val="clear" w:color="auto" w:fill="EAF7EE"/>
          </w:tcPr>
          <w:p>
            <w:r>
              <w:rPr>
                <w:rFonts w:ascii="Calibri" w:hAnsi="Calibri"/>
                <w:b w:val="0"/>
                <w:color w:val="1A1A1A"/>
                <w:sz w:val="17"/>
              </w:rPr>
              <w:t>Organophosphate</w:t>
            </w:r>
          </w:p>
        </w:tc>
        <w:tc>
          <w:tcPr>
            <w:tcW w:type="dxa" w:w="6236"/>
            <w:shd w:val="clear" w:color="auto" w:fill="EAF7EE"/>
          </w:tcPr>
          <w:p>
            <w:r>
              <w:rPr>
                <w:rFonts w:ascii="Calibri" w:hAnsi="Calibri"/>
                <w:b w:val="0"/>
                <w:color w:val="1A1A1A"/>
                <w:sz w:val="17"/>
              </w:rPr>
              <w:t>Less acutely toxic (LD50 ~500 mg/kg goats); cattle/exotic breeds notably susceptible</w:t>
            </w:r>
          </w:p>
        </w:tc>
      </w:tr>
      <w:tr>
        <w:tc>
          <w:tcPr>
            <w:tcW w:type="dxa" w:w="1984"/>
            <w:shd w:val="clear" w:color="auto" w:fill="FFFFFF"/>
          </w:tcPr>
          <w:p>
            <w:r>
              <w:rPr>
                <w:rFonts w:ascii="Calibri" w:hAnsi="Calibri"/>
                <w:b w:val="0"/>
                <w:color w:val="1A1A1A"/>
                <w:sz w:val="17"/>
              </w:rPr>
              <w:t>Imidacloprid</w:t>
            </w:r>
          </w:p>
        </w:tc>
        <w:tc>
          <w:tcPr>
            <w:tcW w:type="dxa" w:w="1417"/>
            <w:shd w:val="clear" w:color="auto" w:fill="FFFFFF"/>
          </w:tcPr>
          <w:p>
            <w:r>
              <w:rPr>
                <w:rFonts w:ascii="Calibri" w:hAnsi="Calibri"/>
                <w:b w:val="0"/>
                <w:color w:val="1A1A1A"/>
                <w:sz w:val="17"/>
              </w:rPr>
              <w:t>Neonicotinoid</w:t>
            </w:r>
          </w:p>
        </w:tc>
        <w:tc>
          <w:tcPr>
            <w:tcW w:type="dxa" w:w="6236"/>
            <w:shd w:val="clear" w:color="auto" w:fill="FFFFFF"/>
          </w:tcPr>
          <w:p>
            <w:r>
              <w:rPr>
                <w:rFonts w:ascii="Calibri" w:hAnsi="Calibri"/>
                <w:b w:val="0"/>
                <w:color w:val="1A1A1A"/>
                <w:sz w:val="17"/>
              </w:rPr>
              <w:t>Systemic insecticide; implicated in death of a wild adult Asian elephant (Kerala)</w:t>
            </w:r>
          </w:p>
        </w:tc>
      </w:tr>
    </w:tbl>
    <w:p>
      <w:pPr>
        <w:spacing w:after="40"/>
      </w:pPr>
    </w:p>
    <w:p>
      <w:pPr>
        <w:spacing w:before="60" w:after="20"/>
      </w:pPr>
      <w:r>
        <w:rPr>
          <w:rFonts w:ascii="Calibri" w:hAnsi="Calibri"/>
          <w:b/>
          <w:color w:val="2D6A4F"/>
          <w:sz w:val="20"/>
        </w:rPr>
        <w:t>OP vs Carbamate — Mechanism:</w:t>
      </w:r>
    </w:p>
    <w:p>
      <w:pPr>
        <w:spacing w:after="40"/>
        <w:ind w:left="567" w:hanging="170"/>
      </w:pPr>
      <w:r>
        <w:rPr>
          <w:rFonts w:ascii="Calibri" w:hAnsi="Calibri"/>
          <w:color w:val="1A1A1A"/>
          <w:sz w:val="19"/>
        </w:rPr>
        <w:t>◦  BOTH inhibit acetylcholinesterase (AChE) → acetylcholine accumulates at muscarinic, nicotinic and CNS synapses</w:t>
      </w:r>
    </w:p>
    <w:p>
      <w:pPr>
        <w:spacing w:after="40"/>
        <w:ind w:left="567" w:hanging="170"/>
      </w:pPr>
      <w:r>
        <w:rPr>
          <w:rFonts w:ascii="Calibri" w:hAnsi="Calibri"/>
          <w:color w:val="1A1A1A"/>
          <w:sz w:val="19"/>
        </w:rPr>
        <w:t>◦  OPs PHOSPHORYLATE AChE — binding becomes irreversible after "aging" (hours); carbamates CARBAMYLATE AChE reversibly — toxicity self-limiting (&lt;24 h) if animal survives</w:t>
      </w:r>
    </w:p>
    <w:p>
      <w:pPr>
        <w:spacing w:before="60" w:after="20"/>
      </w:pPr>
      <w:r>
        <w:rPr>
          <w:rFonts w:ascii="Calibri" w:hAnsi="Calibri"/>
          <w:b/>
          <w:color w:val="2D6A4F"/>
          <w:sz w:val="20"/>
        </w:rPr>
        <w:t>Clinical Signs — Cholinergic Toxidrome (DUMBELS):</w:t>
      </w:r>
    </w:p>
    <w:p>
      <w:pPr>
        <w:spacing w:after="40"/>
        <w:ind w:left="567" w:hanging="170"/>
      </w:pPr>
      <w:r>
        <w:rPr>
          <w:rFonts w:ascii="Calibri" w:hAnsi="Calibri"/>
          <w:color w:val="1A1A1A"/>
          <w:sz w:val="19"/>
        </w:rPr>
        <w:t>◦  MUSCARINIC: Defecation, Urination, Miosis (pinpoint pupils), Bronchorrhoea/Bronchoconstriction, Emesis, Lacrimation, Salivation; bradycardia</w:t>
      </w:r>
    </w:p>
    <w:p>
      <w:pPr>
        <w:spacing w:after="40"/>
        <w:ind w:left="567" w:hanging="170"/>
      </w:pPr>
      <w:r>
        <w:rPr>
          <w:rFonts w:ascii="Calibri" w:hAnsi="Calibri"/>
          <w:color w:val="1A1A1A"/>
          <w:sz w:val="19"/>
        </w:rPr>
        <w:t>◦  NICOTINIC: muscle fasciculations, tremors, weakness, flaccid paralysis</w:t>
      </w:r>
    </w:p>
    <w:p>
      <w:pPr>
        <w:spacing w:after="40"/>
        <w:ind w:left="567" w:hanging="170"/>
      </w:pPr>
      <w:r>
        <w:rPr>
          <w:rFonts w:ascii="Calibri" w:hAnsi="Calibri"/>
          <w:color w:val="1A1A1A"/>
          <w:sz w:val="19"/>
        </w:rPr>
        <w:t>◦  CNS: depression, ataxia, seizures; DEATH from respiratory failure</w:t>
      </w:r>
    </w:p>
    <w:p>
      <w:pPr>
        <w:spacing w:before="60" w:after="20"/>
      </w:pPr>
      <w:r>
        <w:rPr>
          <w:rFonts w:ascii="Calibri" w:hAnsi="Calibri"/>
          <w:b/>
          <w:color w:val="2D6A4F"/>
          <w:sz w:val="20"/>
        </w:rPr>
        <w:t>Diagnosis:</w:t>
      </w:r>
    </w:p>
    <w:p>
      <w:pPr>
        <w:spacing w:after="40"/>
        <w:ind w:left="567" w:hanging="170"/>
      </w:pPr>
      <w:r>
        <w:rPr>
          <w:rFonts w:ascii="Calibri" w:hAnsi="Calibri"/>
          <w:color w:val="1A1A1A"/>
          <w:sz w:val="19"/>
        </w:rPr>
        <w:t>◦  Cholinesterase (ChE) activity in whole blood, BRAIN and retina — brain AChE depression to &lt;50% of normal is DIAGNOSTIC</w:t>
      </w:r>
    </w:p>
    <w:p>
      <w:pPr>
        <w:spacing w:after="40"/>
        <w:ind w:left="567" w:hanging="170"/>
      </w:pPr>
      <w:r>
        <w:rPr>
          <w:rFonts w:ascii="Calibri" w:hAnsi="Calibri"/>
          <w:color w:val="1A1A1A"/>
          <w:sz w:val="19"/>
        </w:rPr>
        <w:t>◦  Detect parent compound in stomach contents, liver, and bait material (GC-MS / LC-MS)</w:t>
      </w:r>
    </w:p>
    <w:p>
      <w:pPr>
        <w:spacing w:after="40"/>
        <w:ind w:left="567" w:hanging="170"/>
      </w:pPr>
      <w:r>
        <w:rPr>
          <w:rFonts w:ascii="Calibri" w:hAnsi="Calibri"/>
          <w:color w:val="1A1A1A"/>
          <w:sz w:val="19"/>
        </w:rPr>
        <w:t>◦  CRITICAL: carbamate-inhibited ChE spontaneously reactivates — freeze samples FAST and analyse promptly to avoid false negatives</w:t>
      </w:r>
    </w:p>
    <w:p>
      <w:pPr>
        <w:spacing w:before="60" w:after="20"/>
      </w:pPr>
      <w:r>
        <w:rPr>
          <w:rFonts w:ascii="Calibri" w:hAnsi="Calibri"/>
          <w:b/>
          <w:color w:val="2D6A4F"/>
          <w:sz w:val="20"/>
        </w:rPr>
        <w:t>Antidote Dosing (cattle/large-animal reference — extrapolate for elephant):</w:t>
      </w:r>
    </w:p>
    <w:p>
      <w:pPr>
        <w:spacing w:after="40"/>
        <w:ind w:left="567" w:hanging="170"/>
      </w:pPr>
      <w:r>
        <w:rPr>
          <w:rFonts w:ascii="Calibri" w:hAnsi="Calibri"/>
          <w:color w:val="1A1A1A"/>
          <w:sz w:val="19"/>
        </w:rPr>
        <w:t>◦  ATROPINE: 0.6–1.0 mg/kg (cattle) — give ~⅓ IV, remainder IM/SC; repeat to effect ("atropinisation": pupil dilation, drying secretions, alertness)</w:t>
      </w:r>
    </w:p>
    <w:p>
      <w:pPr>
        <w:spacing w:after="40"/>
        <w:ind w:left="567" w:hanging="170"/>
      </w:pPr>
      <w:r>
        <w:rPr>
          <w:rFonts w:ascii="Calibri" w:hAnsi="Calibri"/>
          <w:color w:val="1A1A1A"/>
          <w:sz w:val="19"/>
        </w:rPr>
        <w:t>◦  PRALIDOXIME (2-PAM): 20–50 mg/kg as 5% solution, slow IV (5–10 min) or IM — reactivates AChE; MUST be given EARLY (before aging); effective for OPs, generally not for carbamates</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3.2  Cyanide</w:t>
            </w:r>
          </w:p>
        </w:tc>
      </w:tr>
    </w:tbl>
    <w:p>
      <w:pPr>
        <w:spacing w:after="40"/>
      </w:pPr>
    </w:p>
    <w:p>
      <w:pPr>
        <w:spacing w:after="40"/>
        <w:ind w:left="283" w:hanging="170"/>
      </w:pPr>
      <w:r>
        <w:rPr>
          <w:rFonts w:ascii="Calibri" w:hAnsi="Calibri"/>
          <w:color w:val="1A1A1A"/>
          <w:sz w:val="19"/>
        </w:rPr>
        <w:t>•  Used in illegal poaching and mining operations — can cause rapid, fatal hypoxia (cellular asphyxiation)</w:t>
      </w:r>
    </w:p>
    <w:p>
      <w:pPr>
        <w:spacing w:after="40"/>
        <w:ind w:left="283" w:hanging="170"/>
      </w:pPr>
      <w:r>
        <w:rPr>
          <w:rFonts w:ascii="Calibri" w:hAnsi="Calibri"/>
          <w:color w:val="1A1A1A"/>
          <w:sz w:val="19"/>
        </w:rPr>
        <w:t>•  Poachers create "natural salt licks" laced with cyanide near waterholes — elephants attracted to salt are poisoned</w:t>
      </w:r>
    </w:p>
    <w:p>
      <w:pPr>
        <w:spacing w:after="40"/>
        <w:ind w:left="283" w:hanging="170"/>
      </w:pPr>
      <w:r>
        <w:rPr>
          <w:rFonts w:ascii="Calibri" w:hAnsi="Calibri"/>
          <w:color w:val="1A1A1A"/>
          <w:sz w:val="19"/>
        </w:rPr>
        <w:t>•  Mechanism: cyanide binds cytochrome c oxidase → blocks mitochondrial electron transport → cells cannot use oxygen → death</w:t>
      </w:r>
    </w:p>
    <w:p>
      <w:pPr>
        <w:spacing w:after="40"/>
        <w:ind w:left="283" w:hanging="170"/>
      </w:pPr>
      <w:r>
        <w:rPr>
          <w:rFonts w:ascii="Calibri" w:hAnsi="Calibri"/>
          <w:color w:val="1A1A1A"/>
          <w:sz w:val="19"/>
        </w:rPr>
        <w:t>•  See Section 5 for detailed HCN/cyanide poisoning from cyanogenic plants (sorghum)</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3.3  Fertilizers / Heavy Metals</w:t>
            </w:r>
          </w:p>
        </w:tc>
      </w:tr>
    </w:tbl>
    <w:p>
      <w:pPr>
        <w:spacing w:after="40"/>
      </w:pPr>
    </w:p>
    <w:p>
      <w:pPr>
        <w:spacing w:after="40"/>
        <w:ind w:left="283" w:hanging="170"/>
      </w:pPr>
      <w:r>
        <w:rPr>
          <w:rFonts w:ascii="Calibri" w:hAnsi="Calibri"/>
          <w:color w:val="1A1A1A"/>
          <w:sz w:val="19"/>
        </w:rPr>
        <w:t>•  Accidental UREA fertilizer toxicity: urea → ammonia in rumen/hindgut → ammonia toxicity → neurological signs, death</w:t>
      </w:r>
    </w:p>
    <w:p>
      <w:pPr>
        <w:spacing w:after="40"/>
        <w:ind w:left="283" w:hanging="170"/>
      </w:pPr>
      <w:r>
        <w:rPr>
          <w:rFonts w:ascii="Calibri" w:hAnsi="Calibri"/>
          <w:color w:val="1A1A1A"/>
          <w:sz w:val="19"/>
        </w:rPr>
        <w:t>•  Heavy metal contamination (ARSENIC, LEAD) can destroy gastrointestinal and renal integrity</w:t>
      </w:r>
    </w:p>
    <w:p>
      <w:pPr>
        <w:spacing w:before="60" w:after="20"/>
      </w:pPr>
      <w:r>
        <w:rPr>
          <w:rFonts w:ascii="Calibri" w:hAnsi="Calibri"/>
          <w:b/>
          <w:color w:val="2D6A4F"/>
          <w:sz w:val="20"/>
        </w:rPr>
        <w:t>Heavy Metal Effects (web-elaborated):</w:t>
      </w:r>
    </w:p>
    <w:p>
      <w:pPr>
        <w:spacing w:after="40"/>
        <w:ind w:left="567" w:hanging="170"/>
      </w:pPr>
      <w:r>
        <w:rPr>
          <w:rFonts w:ascii="Calibri" w:hAnsi="Calibri"/>
          <w:color w:val="1A1A1A"/>
          <w:sz w:val="19"/>
        </w:rPr>
        <w:t>◦  LEAD: damages nervous system (encephalopathy), GI tract (colic), kidneys; sources — paint, batteries, mining waste</w:t>
      </w:r>
    </w:p>
    <w:p>
      <w:pPr>
        <w:spacing w:after="40"/>
        <w:ind w:left="567" w:hanging="170"/>
      </w:pPr>
      <w:r>
        <w:rPr>
          <w:rFonts w:ascii="Calibri" w:hAnsi="Calibri"/>
          <w:color w:val="1A1A1A"/>
          <w:sz w:val="19"/>
        </w:rPr>
        <w:t>◦  ARSENIC: damages GI mucosa (haemorrhagic enteritis), liver, kidneys; sources — pesticides, industrial effluent</w:t>
      </w:r>
    </w:p>
    <w:p>
      <w:pPr>
        <w:spacing w:after="40"/>
        <w:ind w:left="567" w:hanging="170"/>
      </w:pPr>
      <w:r>
        <w:rPr>
          <w:rFonts w:ascii="Calibri" w:hAnsi="Calibri"/>
          <w:color w:val="1A1A1A"/>
          <w:sz w:val="19"/>
        </w:rPr>
        <w:t>◦  Chronic exposure: weight loss, anaemia, organ failure; Acute: severe GI haemorrhage, rapid death</w:t>
      </w:r>
    </w:p>
    <w:tbl>
      <w:tblPr>
        <w:tblStyle w:val="TableGrid"/>
        <w:tblW w:type="auto" w:w="0"/>
        <w:tblLook w:firstColumn="1" w:firstRow="1" w:lastColumn="0" w:lastRow="0" w:noHBand="0" w:noVBand="1" w:val="04A0"/>
      </w:tblPr>
      <w:tblGrid>
        <w:gridCol w:w="9638"/>
      </w:tblGrid>
      <w:tr>
        <w:tc>
          <w:tcPr>
            <w:tcW w:type="dxa" w:w="9638"/>
            <w:shd w:val="clear" w:color="auto" w:fill="D8F3DC"/>
          </w:tcPr>
          <w:p>
            <w:pPr>
              <w:spacing w:before="100" w:after="100"/>
            </w:pPr>
            <w:r>
              <w:rPr>
                <w:rFonts w:ascii="Calibri" w:hAnsi="Calibri"/>
                <w:b/>
                <w:color w:val="1B4332"/>
                <w:sz w:val="18"/>
              </w:rPr>
              <w:t>TOXICOLOGY SAMPLING (Anthropogenic Poisons): Collect stomach/gut contents, liver, kidney, brain, and blood — refrigerate or freeze. For OP/carbamate: blood AChE level + gut contents. For heavy metals: liver and kidney (frozen) for atomic absorption spectroscopy. Always collect suspected bait/source material. Send to forensic laboratory (IVRI Izatnagar / State FSL) with a clear suspected-diagnosis note.</w:t>
            </w:r>
          </w:p>
        </w:tc>
      </w:tr>
    </w:tbl>
    <w:p>
      <w:pPr>
        <w:spacing w:after="40"/>
      </w:pPr>
    </w:p>
    <w:p>
      <w:pPr>
        <w:spacing w:before="0" w:after="0"/>
      </w:pPr>
      <w:r>
        <w:br w:type="page"/>
      </w:r>
    </w:p>
    <w:tbl>
      <w:tblPr>
        <w:tblStyle w:val="TableGrid"/>
        <w:tblW w:type="auto" w:w="0"/>
        <w:tblLook w:firstColumn="1" w:firstRow="1" w:lastColumn="0" w:lastRow="0" w:noHBand="0" w:noVBand="1" w:val="04A0"/>
      </w:tblPr>
      <w:tblGrid>
        <w:gridCol w:w="9638"/>
      </w:tblGrid>
      <w:tr>
        <w:tc>
          <w:tcPr>
            <w:tcW w:type="dxa" w:w="9638"/>
            <w:shd w:val="clear" w:color="auto" w:fill="1B4332"/>
          </w:tcPr>
          <w:p>
            <w:pPr>
              <w:spacing w:before="160" w:after="160"/>
            </w:pPr>
            <w:r>
              <w:rPr>
                <w:rFonts w:ascii="Calibri" w:hAnsi="Calibri"/>
                <w:b/>
                <w:color w:val="FFFFFF"/>
                <w:sz w:val="26"/>
              </w:rPr>
              <w:t>4.  Mycotoxins &amp; Biological Toxins</w:t>
            </w:r>
          </w:p>
        </w:tc>
      </w:tr>
    </w:tbl>
    <w:p>
      <w:pPr>
        <w:spacing w:after="40"/>
      </w:pPr>
    </w:p>
    <w:p>
      <w:pPr>
        <w:spacing w:before="80" w:after="40"/>
        <w:jc w:val="center"/>
      </w:pPr>
      <w:r>
        <w:drawing>
          <wp:inline xmlns:a="http://schemas.openxmlformats.org/drawingml/2006/main" xmlns:pic="http://schemas.openxmlformats.org/drawingml/2006/picture">
            <wp:extent cx="4680000" cy="6056471"/>
            <wp:docPr id="3" name="Picture 3"/>
            <wp:cNvGraphicFramePr>
              <a:graphicFrameLocks noChangeAspect="1"/>
            </wp:cNvGraphicFramePr>
            <a:graphic>
              <a:graphicData uri="http://schemas.openxmlformats.org/drawingml/2006/picture">
                <pic:pic>
                  <pic:nvPicPr>
                    <pic:cNvPr id="0" name="page_003.png"/>
                    <pic:cNvPicPr/>
                  </pic:nvPicPr>
                  <pic:blipFill>
                    <a:blip r:embed="rId11"/>
                    <a:stretch>
                      <a:fillRect/>
                    </a:stretch>
                  </pic:blipFill>
                  <pic:spPr>
                    <a:xfrm>
                      <a:off x="0" y="0"/>
                      <a:ext cx="4680000" cy="6056471"/>
                    </a:xfrm>
                    <a:prstGeom prst="rect"/>
                  </pic:spPr>
                </pic:pic>
              </a:graphicData>
            </a:graphic>
          </wp:inline>
        </w:drawing>
      </w:r>
    </w:p>
    <w:p>
      <w:pPr>
        <w:spacing w:after="120"/>
        <w:jc w:val="center"/>
      </w:pPr>
      <w:r>
        <w:rPr>
          <w:rFonts w:ascii="Calibri" w:hAnsi="Calibri"/>
          <w:i/>
          <w:color w:val="555555"/>
          <w:sz w:val="16"/>
        </w:rPr>
        <w:t>Slide 3 — Mycotoxins (CPA / Kodo millet); cyanotoxins; toxic plants; Bandhavgarh Kodo case</w:t>
      </w:r>
    </w:p>
    <w:p>
      <w:pPr>
        <w:spacing w:before="80" w:after="40"/>
        <w:jc w:val="center"/>
      </w:pPr>
      <w:r>
        <w:drawing>
          <wp:inline xmlns:a="http://schemas.openxmlformats.org/drawingml/2006/main" xmlns:pic="http://schemas.openxmlformats.org/drawingml/2006/picture">
            <wp:extent cx="4680000" cy="6056471"/>
            <wp:docPr id="4" name="Picture 4"/>
            <wp:cNvGraphicFramePr>
              <a:graphicFrameLocks noChangeAspect="1"/>
            </wp:cNvGraphicFramePr>
            <a:graphic>
              <a:graphicData uri="http://schemas.openxmlformats.org/drawingml/2006/picture">
                <pic:pic>
                  <pic:nvPicPr>
                    <pic:cNvPr id="0" name="page_004.png"/>
                    <pic:cNvPicPr/>
                  </pic:nvPicPr>
                  <pic:blipFill>
                    <a:blip r:embed="rId12"/>
                    <a:stretch>
                      <a:fillRect/>
                    </a:stretch>
                  </pic:blipFill>
                  <pic:spPr>
                    <a:xfrm>
                      <a:off x="0" y="0"/>
                      <a:ext cx="4680000" cy="6056471"/>
                    </a:xfrm>
                    <a:prstGeom prst="rect"/>
                  </pic:spPr>
                </pic:pic>
              </a:graphicData>
            </a:graphic>
          </wp:inline>
        </w:drawing>
      </w:r>
    </w:p>
    <w:p>
      <w:pPr>
        <w:spacing w:after="120"/>
        <w:jc w:val="center"/>
      </w:pPr>
      <w:r>
        <w:rPr>
          <w:rFonts w:ascii="Calibri" w:hAnsi="Calibri"/>
          <w:i/>
          <w:color w:val="555555"/>
          <w:sz w:val="16"/>
        </w:rPr>
        <w:t>Slide 4 — Field photographs: Kodo millet crop raided; necropsy organ findings</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4.1  Crop-Borne Mycotoxins — Kodo Millet (Cyclopiazonic Acid)</w:t>
            </w:r>
          </w:p>
        </w:tc>
      </w:tr>
    </w:tbl>
    <w:p>
      <w:pPr>
        <w:spacing w:after="40"/>
      </w:pPr>
    </w:p>
    <w:p>
      <w:pPr>
        <w:spacing w:after="80"/>
        <w:jc w:val="both"/>
      </w:pPr>
      <w:r>
        <w:rPr>
          <w:rFonts w:ascii="Calibri" w:hAnsi="Calibri"/>
          <w:b w:val="0"/>
          <w:i w:val="0"/>
          <w:color w:val="1A1A1A"/>
          <w:sz w:val="19"/>
        </w:rPr>
        <w:t>Elephants raiding farm fields are highly susceptible to mycotoxins like Cyclopiazonic Acid (CPA). This fungal toxin often infects crops like Kodo millet (Paspalum scrobiculatum) and can cause acute vascular damage and liver/kidney necrosis.</w:t>
      </w:r>
    </w:p>
    <w:p>
      <w:pPr>
        <w:spacing w:after="40"/>
        <w:ind w:left="283" w:hanging="170"/>
      </w:pPr>
      <w:r>
        <w:rPr>
          <w:rFonts w:ascii="Calibri" w:hAnsi="Calibri"/>
          <w:color w:val="1A1A1A"/>
          <w:sz w:val="19"/>
        </w:rPr>
        <w:t>•  CPA is produced by fungi — primarily Aspergillus and Penicillium species</w:t>
      </w:r>
    </w:p>
    <w:p>
      <w:pPr>
        <w:spacing w:after="40"/>
        <w:ind w:left="283" w:hanging="170"/>
      </w:pPr>
      <w:r>
        <w:rPr>
          <w:rFonts w:ascii="Calibri" w:hAnsi="Calibri"/>
          <w:color w:val="1A1A1A"/>
          <w:sz w:val="19"/>
        </w:rPr>
        <w:t>•  Contamination occurs when heavy or unseasonal rainfall coincides with grain maturation/harvest, creating moist conditions favourable for fungal growth</w:t>
      </w:r>
    </w:p>
    <w:p>
      <w:pPr>
        <w:spacing w:after="40"/>
        <w:ind w:left="283" w:hanging="170"/>
      </w:pPr>
      <w:r>
        <w:rPr>
          <w:rFonts w:ascii="Calibri" w:hAnsi="Calibri"/>
          <w:color w:val="1A1A1A"/>
          <w:sz w:val="19"/>
        </w:rPr>
        <w:t>•  "Kodo poisoning" / "Kodua poisoning" is a well-recognised syndrome in livestock and elephants in central India</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4.2  CASE STUDY — Kodo Millet Poisoning, Bandhavgarh Tiger Reserve</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FAE0D8"/>
          </w:tcPr>
          <w:p>
            <w:pPr>
              <w:spacing w:before="100" w:after="100"/>
            </w:pPr>
            <w:r>
              <w:rPr>
                <w:rFonts w:ascii="Calibri" w:hAnsi="Calibri"/>
                <w:b/>
                <w:color w:val="8B0000"/>
                <w:sz w:val="18"/>
              </w:rPr>
              <w:t>RECENT CASE (Madhya Pradesh): A herd of 13 elephants raided the Kodo millet crops near Bandhavgarh Tiger Reserve. TEN ELEPHANTS DIED. Forensic postmortem and laboratory investigations revealed that the deaths were caused by accidental toxicity from eating crops infected with fungal mycotoxins (cyclopiazonic acid). Dr. Shrivastava notes: "I have seen / treated two cases in KTR (Kanha Tiger Reserve) during 1997–98."</w:t>
            </w:r>
          </w:p>
        </w:tc>
      </w:tr>
    </w:tbl>
    <w:p>
      <w:pPr>
        <w:spacing w:after="40"/>
      </w:pPr>
    </w:p>
    <w:p>
      <w:pPr>
        <w:spacing w:before="60" w:after="20"/>
      </w:pPr>
      <w:r>
        <w:rPr>
          <w:rFonts w:ascii="Calibri" w:hAnsi="Calibri"/>
          <w:b/>
          <w:color w:val="2D6A4F"/>
          <w:sz w:val="20"/>
        </w:rPr>
        <w:t>What the Forensic Investigation Found (verified):</w:t>
      </w:r>
    </w:p>
    <w:p>
      <w:pPr>
        <w:spacing w:after="40"/>
        <w:ind w:left="283" w:hanging="170"/>
      </w:pPr>
      <w:r>
        <w:rPr>
          <w:rFonts w:ascii="Calibri" w:hAnsi="Calibri"/>
          <w:color w:val="1A1A1A"/>
          <w:sz w:val="19"/>
        </w:rPr>
        <w:t>•  Confirmed event: 10 wild elephants died over 3 days (29–31 October 2024) in Sankhani/Bakeli, Khitoli range, Bandhavgarh Tiger Reserve, Madhya Pradesh</w:t>
      </w:r>
    </w:p>
    <w:p>
      <w:pPr>
        <w:spacing w:after="40"/>
        <w:ind w:left="283" w:hanging="170"/>
      </w:pPr>
      <w:r>
        <w:rPr>
          <w:rFonts w:ascii="Calibri" w:hAnsi="Calibri"/>
          <w:color w:val="1A1A1A"/>
          <w:sz w:val="19"/>
        </w:rPr>
        <w:t>•  Samples (viscera, liver, kidney) sent to ICAR-IVRI Bareilly, WII Dehradun, MP State FSL Sagar, and CCMB Hyderabad</w:t>
      </w:r>
    </w:p>
    <w:p>
      <w:pPr>
        <w:spacing w:after="40"/>
        <w:ind w:left="283" w:hanging="170"/>
      </w:pPr>
      <w:r>
        <w:rPr>
          <w:rFonts w:ascii="Calibri" w:hAnsi="Calibri"/>
          <w:color w:val="1A1A1A"/>
          <w:sz w:val="19"/>
        </w:rPr>
        <w:t>•  IVRI toxicology report (5 Nov 2024): NO nitrates/nitrites, NO heavy metals, and NO pesticides (OP, organochlorine, pyrethroid, carbamate) detected</w:t>
      </w:r>
    </w:p>
    <w:p>
      <w:pPr>
        <w:spacing w:after="40"/>
        <w:ind w:left="283" w:hanging="170"/>
      </w:pPr>
      <w:r>
        <w:rPr>
          <w:rFonts w:ascii="Calibri" w:hAnsi="Calibri"/>
          <w:color w:val="1A1A1A"/>
          <w:sz w:val="19"/>
        </w:rPr>
        <w:t>•  CYCLOPIAZONIC ACID (CPA) was CONFIRMED in the viscera of all elephants → diagnosis: ingestion of large quantities of FUNGUS-INFECTED Kodo millet</w:t>
      </w:r>
    </w:p>
    <w:p>
      <w:pPr>
        <w:spacing w:after="40"/>
        <w:ind w:left="283" w:hanging="170"/>
      </w:pPr>
      <w:r>
        <w:rPr>
          <w:rFonts w:ascii="Calibri" w:hAnsi="Calibri"/>
          <w:color w:val="1A1A1A"/>
          <w:sz w:val="19"/>
        </w:rPr>
        <w:t>•  Key nuance: the FUNGUS (toxin) on the millet — not the millet grain itself — was the proximate cause ("fungus, not Kodo millet, responsible")</w:t>
      </w:r>
    </w:p>
    <w:p>
      <w:pPr>
        <w:spacing w:before="60" w:after="20"/>
      </w:pPr>
      <w:r>
        <w:rPr>
          <w:rFonts w:ascii="Calibri" w:hAnsi="Calibri"/>
          <w:b/>
          <w:color w:val="2D6A4F"/>
          <w:sz w:val="20"/>
        </w:rPr>
        <w:t>CPA Mechanism &amp; Pathology (web-elaborated):</w:t>
      </w:r>
    </w:p>
    <w:p>
      <w:pPr>
        <w:spacing w:after="40"/>
        <w:ind w:left="283" w:hanging="170"/>
      </w:pPr>
      <w:r>
        <w:rPr>
          <w:rFonts w:ascii="Calibri" w:hAnsi="Calibri"/>
          <w:color w:val="1A1A1A"/>
          <w:sz w:val="19"/>
        </w:rPr>
        <w:t>•  CPA is an indole-tetramic acid mycotoxin from Aspergillus flavus, A. tamarii and Penicillium spp. infesting Kodo millet</w:t>
      </w:r>
    </w:p>
    <w:p>
      <w:pPr>
        <w:spacing w:after="40"/>
        <w:ind w:left="283" w:hanging="170"/>
      </w:pPr>
      <w:r>
        <w:rPr>
          <w:rFonts w:ascii="Calibri" w:hAnsi="Calibri"/>
          <w:color w:val="1A1A1A"/>
          <w:sz w:val="19"/>
        </w:rPr>
        <w:t>•  Mechanism: potent inhibitor of Ca²⁺-dependent ATPases (SERCA) of the endo/sarcoplasmic reticulum → disrupts intracellular calcium gradients and the muscle contraction–relaxation cycle</w:t>
      </w:r>
    </w:p>
    <w:p>
      <w:pPr>
        <w:spacing w:after="40"/>
        <w:ind w:left="283" w:hanging="170"/>
      </w:pPr>
      <w:r>
        <w:rPr>
          <w:rFonts w:ascii="Calibri" w:hAnsi="Calibri"/>
          <w:color w:val="1A1A1A"/>
          <w:sz w:val="19"/>
        </w:rPr>
        <w:t>•  Effects: acute HEPATOTOXICITY, nephrotoxicity, and GI-tract effects; vascular damage; neurological signs (depression, loss of mobility)</w:t>
      </w:r>
    </w:p>
    <w:p>
      <w:pPr>
        <w:spacing w:after="40"/>
        <w:ind w:left="283" w:hanging="170"/>
      </w:pPr>
      <w:r>
        <w:rPr>
          <w:rFonts w:ascii="Calibri" w:hAnsi="Calibri"/>
          <w:color w:val="1A1A1A"/>
          <w:sz w:val="19"/>
        </w:rPr>
        <w:t>•  AFLATOXINS (related): Aspergillus flavus/parasiticus on grain — hepatotoxic/hepatocarcinogenic; hepatic necrosis, bile-duct proliferation, icterus, coagulopathy — a key differential in grain-associated die-offs</w:t>
      </w:r>
    </w:p>
    <w:p>
      <w:pPr>
        <w:spacing w:before="60" w:after="20"/>
      </w:pPr>
      <w:r>
        <w:rPr>
          <w:rFonts w:ascii="Calibri" w:hAnsi="Calibri"/>
          <w:b/>
          <w:color w:val="2D6A4F"/>
          <w:sz w:val="20"/>
        </w:rPr>
        <w:t>Management of Kodo Millet Toxicity:</w:t>
      </w:r>
    </w:p>
    <w:p>
      <w:pPr>
        <w:spacing w:after="40"/>
        <w:ind w:left="283" w:hanging="170"/>
      </w:pPr>
      <w:r>
        <w:rPr>
          <w:rFonts w:ascii="Calibri" w:hAnsi="Calibri"/>
          <w:color w:val="1A1A1A"/>
          <w:sz w:val="19"/>
        </w:rPr>
        <w:t>•  Combination of preventive measures in cultivation, storage and processing</w:t>
      </w:r>
    </w:p>
    <w:p>
      <w:pPr>
        <w:spacing w:after="40"/>
        <w:ind w:left="283" w:hanging="170"/>
      </w:pPr>
      <w:r>
        <w:rPr>
          <w:rFonts w:ascii="Calibri" w:hAnsi="Calibri"/>
          <w:color w:val="1A1A1A"/>
          <w:sz w:val="19"/>
        </w:rPr>
        <w:t>•  Biocontrol agents — non-toxigenic fungal strains can competitively exclude toxigenic strains and reduce mycotoxin production</w:t>
      </w:r>
    </w:p>
    <w:p>
      <w:pPr>
        <w:spacing w:after="40"/>
        <w:ind w:left="283" w:hanging="170"/>
      </w:pPr>
      <w:r>
        <w:rPr>
          <w:rFonts w:ascii="Calibri" w:hAnsi="Calibri"/>
          <w:color w:val="1A1A1A"/>
          <w:sz w:val="19"/>
        </w:rPr>
        <w:t>•  Good agricultural practices and proper post-harvest handling: proper drying and airtight storage of Kodo grain</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4.3  Cyanotoxins / Cyanobacteria (Blue-Green Algae)</w:t>
            </w:r>
          </w:p>
        </w:tc>
      </w:tr>
    </w:tbl>
    <w:p>
      <w:pPr>
        <w:spacing w:after="40"/>
      </w:pPr>
    </w:p>
    <w:p>
      <w:pPr>
        <w:spacing w:after="40"/>
        <w:ind w:left="283" w:hanging="170"/>
      </w:pPr>
      <w:r>
        <w:rPr>
          <w:rFonts w:ascii="Calibri" w:hAnsi="Calibri"/>
          <w:color w:val="1A1A1A"/>
          <w:sz w:val="19"/>
        </w:rPr>
        <w:t>•  Toxic blue-green algae blooms in stagnant, seasonal water sources produce potent NEUROTOXINS and HEPATOTOXINS</w:t>
      </w:r>
    </w:p>
    <w:p>
      <w:pPr>
        <w:spacing w:after="40"/>
        <w:ind w:left="283" w:hanging="170"/>
      </w:pPr>
      <w:r>
        <w:rPr>
          <w:rFonts w:ascii="Calibri" w:hAnsi="Calibri"/>
          <w:color w:val="1A1A1A"/>
          <w:sz w:val="19"/>
        </w:rPr>
        <w:t>•  These have caused fatal die-offs; mass deaths occasionally linked to toxic algal blooms in watering holes</w:t>
      </w:r>
    </w:p>
    <w:p>
      <w:pPr>
        <w:spacing w:after="40"/>
        <w:ind w:left="283" w:hanging="170"/>
      </w:pPr>
      <w:r>
        <w:rPr>
          <w:rFonts w:ascii="Calibri" w:hAnsi="Calibri"/>
          <w:color w:val="1A1A1A"/>
          <w:sz w:val="19"/>
        </w:rPr>
        <w:t>•  Particularly common during HOT, DRY seasons when water sources shrink and concentrate nutrients</w:t>
      </w:r>
    </w:p>
    <w:p>
      <w:pPr>
        <w:spacing w:before="60" w:after="20"/>
      </w:pPr>
      <w:r>
        <w:rPr>
          <w:rFonts w:ascii="Calibri" w:hAnsi="Calibri"/>
          <w:b/>
          <w:color w:val="2D6A4F"/>
          <w:sz w:val="20"/>
        </w:rPr>
        <w:t>Cyanotoxin Types (web-elaborated):</w:t>
      </w:r>
    </w:p>
    <w:p>
      <w:pPr>
        <w:spacing w:after="40"/>
        <w:ind w:left="567" w:hanging="170"/>
      </w:pPr>
      <w:r>
        <w:rPr>
          <w:rFonts w:ascii="Calibri" w:hAnsi="Calibri"/>
          <w:color w:val="1A1A1A"/>
          <w:sz w:val="19"/>
        </w:rPr>
        <w:t>◦  MICROCYSTINS (hepatotoxins): produced by Microcystis — cause massive liver haemorrhage and necrosis</w:t>
      </w:r>
    </w:p>
    <w:p>
      <w:pPr>
        <w:spacing w:after="40"/>
        <w:ind w:left="567" w:hanging="170"/>
      </w:pPr>
      <w:r>
        <w:rPr>
          <w:rFonts w:ascii="Calibri" w:hAnsi="Calibri"/>
          <w:color w:val="1A1A1A"/>
          <w:sz w:val="19"/>
        </w:rPr>
        <w:t>◦  ANATOXIN-a / SAXITOXINS (neurotoxins): cause rapid respiratory paralysis and death</w:t>
      </w:r>
    </w:p>
    <w:p>
      <w:pPr>
        <w:spacing w:after="40"/>
        <w:ind w:left="567" w:hanging="170"/>
      </w:pPr>
      <w:r>
        <w:rPr>
          <w:rFonts w:ascii="Calibri" w:hAnsi="Calibri"/>
          <w:color w:val="1A1A1A"/>
          <w:sz w:val="19"/>
        </w:rPr>
        <w:t>◦  Note: The 2020 mass die-off of African elephants in Botswana (Okavango) was attributed to cyanobacterial neurotoxins in waterholes — a landmark example</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4.4  Toxic Plants</w:t>
            </w:r>
          </w:p>
        </w:tc>
      </w:tr>
    </w:tbl>
    <w:p>
      <w:pPr>
        <w:spacing w:after="40"/>
      </w:pPr>
    </w:p>
    <w:p>
      <w:pPr>
        <w:spacing w:after="40"/>
        <w:ind w:left="283" w:hanging="170"/>
      </w:pPr>
      <w:r>
        <w:rPr>
          <w:rFonts w:ascii="Calibri" w:hAnsi="Calibri"/>
          <w:color w:val="1A1A1A"/>
          <w:sz w:val="19"/>
        </w:rPr>
        <w:t>•  Elephants are generally ADEPT at avoiding toxic vegetation through learned behaviour and selective feeding</w:t>
      </w:r>
    </w:p>
    <w:p>
      <w:pPr>
        <w:spacing w:after="40"/>
        <w:ind w:left="283" w:hanging="170"/>
      </w:pPr>
      <w:r>
        <w:rPr>
          <w:rFonts w:ascii="Calibri" w:hAnsi="Calibri"/>
          <w:color w:val="1A1A1A"/>
          <w:sz w:val="19"/>
        </w:rPr>
        <w:t>•  However, ingestion of plants like OLEANDER (Nerium/Thevetia) or certain weeds can cause lethal cardiac or neurological effects</w:t>
      </w:r>
    </w:p>
    <w:p>
      <w:pPr>
        <w:spacing w:after="40"/>
        <w:ind w:left="283" w:hanging="170"/>
      </w:pPr>
      <w:r>
        <w:rPr>
          <w:rFonts w:ascii="Calibri" w:hAnsi="Calibri"/>
          <w:color w:val="1A1A1A"/>
          <w:sz w:val="19"/>
        </w:rPr>
        <w:t>•  Oleander contains cardiac glycosides (oleandrin) → cardiac arrhythmia, heart block, death — even small quantities lethal</w:t>
      </w:r>
    </w:p>
    <w:p>
      <w:pPr>
        <w:spacing w:after="40"/>
        <w:ind w:left="283" w:hanging="170"/>
      </w:pPr>
      <w:r>
        <w:rPr>
          <w:rFonts w:ascii="Calibri" w:hAnsi="Calibri"/>
          <w:color w:val="1A1A1A"/>
          <w:sz w:val="19"/>
        </w:rPr>
        <w:t>•  Some local toxic plants (those containing CALCIUM OXALATE crystals) cause localised severe irritation, swelling, and systemic distress if consumed in large quantities</w:t>
      </w:r>
    </w:p>
    <w:p>
      <w:pPr>
        <w:spacing w:before="0" w:after="0"/>
      </w:pPr>
      <w:r>
        <w:br w:type="page"/>
      </w:r>
    </w:p>
    <w:tbl>
      <w:tblPr>
        <w:tblStyle w:val="TableGrid"/>
        <w:tblW w:type="auto" w:w="0"/>
        <w:tblLook w:firstColumn="1" w:firstRow="1" w:lastColumn="0" w:lastRow="0" w:noHBand="0" w:noVBand="1" w:val="04A0"/>
      </w:tblPr>
      <w:tblGrid>
        <w:gridCol w:w="9638"/>
      </w:tblGrid>
      <w:tr>
        <w:tc>
          <w:tcPr>
            <w:tcW w:type="dxa" w:w="9638"/>
            <w:shd w:val="clear" w:color="auto" w:fill="1B4332"/>
          </w:tcPr>
          <w:p>
            <w:pPr>
              <w:spacing w:before="160" w:after="160"/>
            </w:pPr>
            <w:r>
              <w:rPr>
                <w:rFonts w:ascii="Calibri" w:hAnsi="Calibri"/>
                <w:b/>
                <w:color w:val="FFFFFF"/>
                <w:sz w:val="26"/>
              </w:rPr>
              <w:t>5.  HCN (Cyanide) Poisoning from Sorghum</w:t>
            </w:r>
          </w:p>
        </w:tc>
      </w:tr>
    </w:tbl>
    <w:p>
      <w:pPr>
        <w:spacing w:after="40"/>
      </w:pPr>
    </w:p>
    <w:p>
      <w:pPr>
        <w:spacing w:before="80" w:after="40"/>
        <w:jc w:val="center"/>
      </w:pPr>
      <w:r>
        <w:drawing>
          <wp:inline xmlns:a="http://schemas.openxmlformats.org/drawingml/2006/main" xmlns:pic="http://schemas.openxmlformats.org/drawingml/2006/picture">
            <wp:extent cx="4680000" cy="6056471"/>
            <wp:docPr id="5" name="Picture 5"/>
            <wp:cNvGraphicFramePr>
              <a:graphicFrameLocks noChangeAspect="1"/>
            </wp:cNvGraphicFramePr>
            <a:graphic>
              <a:graphicData uri="http://schemas.openxmlformats.org/drawingml/2006/picture">
                <pic:pic>
                  <pic:nvPicPr>
                    <pic:cNvPr id="0" name="page_005.png"/>
                    <pic:cNvPicPr/>
                  </pic:nvPicPr>
                  <pic:blipFill>
                    <a:blip r:embed="rId13"/>
                    <a:stretch>
                      <a:fillRect/>
                    </a:stretch>
                  </pic:blipFill>
                  <pic:spPr>
                    <a:xfrm>
                      <a:off x="0" y="0"/>
                      <a:ext cx="4680000" cy="6056471"/>
                    </a:xfrm>
                    <a:prstGeom prst="rect"/>
                  </pic:spPr>
                </pic:pic>
              </a:graphicData>
            </a:graphic>
          </wp:inline>
        </w:drawing>
      </w:r>
    </w:p>
    <w:p>
      <w:pPr>
        <w:spacing w:after="120"/>
        <w:jc w:val="center"/>
      </w:pPr>
      <w:r>
        <w:rPr>
          <w:rFonts w:ascii="Calibri" w:hAnsi="Calibri"/>
          <w:i/>
          <w:color w:val="555555"/>
          <w:sz w:val="16"/>
        </w:rPr>
        <w:t>Slide 5 — HCN poisoning: mechanism, signs, risk factors, management &amp; antidote</w:t>
      </w:r>
    </w:p>
    <w:p>
      <w:pPr>
        <w:spacing w:before="80" w:after="40"/>
        <w:jc w:val="center"/>
      </w:pPr>
      <w:r>
        <w:drawing>
          <wp:inline xmlns:a="http://schemas.openxmlformats.org/drawingml/2006/main" xmlns:pic="http://schemas.openxmlformats.org/drawingml/2006/picture">
            <wp:extent cx="4680000" cy="6056471"/>
            <wp:docPr id="6" name="Picture 6"/>
            <wp:cNvGraphicFramePr>
              <a:graphicFrameLocks noChangeAspect="1"/>
            </wp:cNvGraphicFramePr>
            <a:graphic>
              <a:graphicData uri="http://schemas.openxmlformats.org/drawingml/2006/picture">
                <pic:pic>
                  <pic:nvPicPr>
                    <pic:cNvPr id="0" name="page_006.png"/>
                    <pic:cNvPicPr/>
                  </pic:nvPicPr>
                  <pic:blipFill>
                    <a:blip r:embed="rId14"/>
                    <a:stretch>
                      <a:fillRect/>
                    </a:stretch>
                  </pic:blipFill>
                  <pic:spPr>
                    <a:xfrm>
                      <a:off x="0" y="0"/>
                      <a:ext cx="4680000" cy="6056471"/>
                    </a:xfrm>
                    <a:prstGeom prst="rect"/>
                  </pic:spPr>
                </pic:pic>
              </a:graphicData>
            </a:graphic>
          </wp:inline>
        </w:drawing>
      </w:r>
    </w:p>
    <w:p>
      <w:pPr>
        <w:spacing w:after="120"/>
        <w:jc w:val="center"/>
      </w:pPr>
      <w:r>
        <w:rPr>
          <w:rFonts w:ascii="Calibri" w:hAnsi="Calibri"/>
          <w:i/>
          <w:color w:val="555555"/>
          <w:sz w:val="16"/>
        </w:rPr>
        <w:t>Slide 6 — HCN poisoning case report (Zoo Print 2010, Dr. Shrivastava); Electrocution intro</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5.1  Overview &amp; Mechanism</w:t>
            </w:r>
          </w:p>
        </w:tc>
      </w:tr>
    </w:tbl>
    <w:p>
      <w:pPr>
        <w:spacing w:after="40"/>
      </w:pPr>
    </w:p>
    <w:p>
      <w:pPr>
        <w:spacing w:after="80"/>
        <w:jc w:val="both"/>
      </w:pPr>
      <w:r>
        <w:rPr>
          <w:rFonts w:ascii="Calibri" w:hAnsi="Calibri"/>
          <w:b w:val="0"/>
          <w:i w:val="0"/>
          <w:color w:val="1A1A1A"/>
          <w:sz w:val="19"/>
        </w:rPr>
        <w:t>HCN (Hydrocyanic acid or prussic acid) poisoning in elephants occurs when they consume sorghum that is stressed (drought, frost, or trampling). Ingestion leads to RAPID CELLULAR ASPHYXIATION.</w:t>
      </w:r>
    </w:p>
    <w:p>
      <w:pPr>
        <w:spacing w:before="60" w:after="20"/>
      </w:pPr>
      <w:r>
        <w:rPr>
          <w:rFonts w:ascii="Calibri" w:hAnsi="Calibri"/>
          <w:b/>
          <w:color w:val="2D6A4F"/>
          <w:sz w:val="20"/>
        </w:rPr>
        <w:t>The Mechanism:</w:t>
      </w:r>
    </w:p>
    <w:p>
      <w:pPr>
        <w:spacing w:after="40"/>
        <w:ind w:left="283" w:hanging="170"/>
      </w:pPr>
      <w:r>
        <w:rPr>
          <w:rFonts w:ascii="Calibri" w:hAnsi="Calibri"/>
          <w:color w:val="1A1A1A"/>
          <w:sz w:val="19"/>
        </w:rPr>
        <w:t>•  Sorghum species (Sorghum bicolor) contain a cyanogenic glucoside called DHURRIN</w:t>
      </w:r>
    </w:p>
    <w:p>
      <w:pPr>
        <w:spacing w:after="40"/>
        <w:ind w:left="283" w:hanging="170"/>
      </w:pPr>
      <w:r>
        <w:rPr>
          <w:rFonts w:ascii="Calibri" w:hAnsi="Calibri"/>
          <w:color w:val="1A1A1A"/>
          <w:sz w:val="19"/>
        </w:rPr>
        <w:t>•  When the plant is chewed or its cells are ruptured, plant enzymes (β-glucosidase) mix with dhurrin, releasing HYDROGEN CYANIDE</w:t>
      </w:r>
    </w:p>
    <w:p>
      <w:pPr>
        <w:spacing w:after="40"/>
        <w:ind w:left="283" w:hanging="170"/>
      </w:pPr>
      <w:r>
        <w:rPr>
          <w:rFonts w:ascii="Calibri" w:hAnsi="Calibri"/>
          <w:color w:val="1A1A1A"/>
          <w:sz w:val="19"/>
        </w:rPr>
        <w:t>•  The toxin is rapidly absorbed into the bloodstream and blocks cellular oxygen use (binds cytochrome c oxidase)</w:t>
      </w:r>
    </w:p>
    <w:p>
      <w:pPr>
        <w:spacing w:after="40"/>
        <w:ind w:left="283" w:hanging="170"/>
      </w:pPr>
      <w:r>
        <w:rPr>
          <w:rFonts w:ascii="Calibri" w:hAnsi="Calibri"/>
          <w:color w:val="1A1A1A"/>
          <w:sz w:val="19"/>
        </w:rPr>
        <w:t>•  Result: cells cannot use oxygen despite adequate blood oxygen → "histotoxic hypoxia" → forced anaerobic metabolism → profound LACTIC ACIDOSIS → death</w:t>
      </w:r>
    </w:p>
    <w:p>
      <w:pPr>
        <w:spacing w:after="40"/>
        <w:ind w:left="283" w:hanging="170"/>
      </w:pPr>
      <w:r>
        <w:rPr>
          <w:rFonts w:ascii="Calibri" w:hAnsi="Calibri"/>
          <w:color w:val="1A1A1A"/>
          <w:sz w:val="19"/>
        </w:rPr>
        <w:t>•  Approximate lethal dose (general mammalian): ~2–2.5 mg cyanide/kg body weight; onset within ~15–20 min</w:t>
      </w:r>
    </w:p>
    <w:p>
      <w:pPr>
        <w:spacing w:after="40"/>
        <w:ind w:left="283" w:hanging="170"/>
      </w:pPr>
      <w:r>
        <w:rPr>
          <w:rFonts w:ascii="Calibri" w:hAnsi="Calibri"/>
          <w:color w:val="1A1A1A"/>
          <w:sz w:val="19"/>
        </w:rPr>
        <w:t>•  CAUTION at necropsy: the classic cherry-red colour FADES rapidly after death and air exposure — it is SUGGESTIVE, not confirmatory; mucous membranes may turn cyanotic once respiration stops</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5.2  Signs and Symptoms</w:t>
            </w:r>
          </w:p>
        </w:tc>
      </w:tr>
    </w:tbl>
    <w:p>
      <w:pPr>
        <w:spacing w:after="40"/>
      </w:pPr>
    </w:p>
    <w:p>
      <w:pPr>
        <w:spacing w:after="40"/>
        <w:ind w:left="283" w:hanging="170"/>
      </w:pPr>
      <w:r>
        <w:rPr>
          <w:rFonts w:ascii="Calibri" w:hAnsi="Calibri"/>
          <w:color w:val="1A1A1A"/>
          <w:sz w:val="19"/>
        </w:rPr>
        <w:t>•  RAPID ONSET: Symptoms appear within minutes to a few hours of consumption</w:t>
      </w:r>
    </w:p>
    <w:p>
      <w:pPr>
        <w:spacing w:after="40"/>
        <w:ind w:left="283" w:hanging="170"/>
      </w:pPr>
      <w:r>
        <w:rPr>
          <w:rFonts w:ascii="Calibri" w:hAnsi="Calibri"/>
          <w:color w:val="1A1A1A"/>
          <w:sz w:val="19"/>
        </w:rPr>
        <w:t>•  BEHAVIOURAL CHANGES: Laboured and rapid breathing, staggering gait, muscle tremors, convulsions, recumbency, and sudden death</w:t>
      </w:r>
    </w:p>
    <w:p>
      <w:pPr>
        <w:spacing w:after="40"/>
        <w:ind w:left="283" w:hanging="170"/>
      </w:pPr>
      <w:r>
        <w:rPr>
          <w:rFonts w:ascii="Calibri" w:hAnsi="Calibri"/>
          <w:color w:val="1A1A1A"/>
          <w:sz w:val="19"/>
        </w:rPr>
        <w:t>•  PHYSICAL SIGNS: A distinct BITTER ALMOND smell; excessive salivation; and BRIGHT CHERRY-RED blood and mucous membranes</w:t>
      </w:r>
    </w:p>
    <w:p>
      <w:pPr>
        <w:spacing w:after="40"/>
        <w:ind w:left="283" w:hanging="170"/>
      </w:pPr>
      <w:r>
        <w:rPr>
          <w:rFonts w:ascii="Calibri" w:hAnsi="Calibri"/>
          <w:color w:val="1A1A1A"/>
          <w:sz w:val="19"/>
        </w:rPr>
        <w:t>•  IMPORTANT DISTINCTION: Cherry-red blood is characteristic of cyanide (oxygen remains bound to haemoglobin); contrast with NITRATE poisoning which causes BROWN (chocolate-coloured) blood from methaemoglobin</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5.3  Risk Factors for Elephants</w:t>
            </w:r>
          </w:p>
        </w:tc>
      </w:tr>
    </w:tbl>
    <w:p>
      <w:pPr>
        <w:spacing w:after="40"/>
      </w:pPr>
    </w:p>
    <w:tbl>
      <w:tblPr>
        <w:tblStyle w:val="TableGrid"/>
        <w:tblW w:type="auto" w:w="0"/>
        <w:tblLook w:firstColumn="1" w:firstRow="1" w:lastColumn="0" w:lastRow="0" w:noHBand="0" w:noVBand="1" w:val="04A0"/>
      </w:tblPr>
      <w:tblGrid>
        <w:gridCol w:w="4819"/>
        <w:gridCol w:w="4819"/>
      </w:tblGrid>
      <w:tr>
        <w:tc>
          <w:tcPr>
            <w:tcW w:type="dxa" w:w="2551"/>
            <w:shd w:val="clear" w:color="auto" w:fill="2D6A4F"/>
          </w:tcPr>
          <w:p>
            <w:pPr>
              <w:jc w:val="center"/>
            </w:pPr>
            <w:r>
              <w:rPr>
                <w:rFonts w:ascii="Calibri" w:hAnsi="Calibri"/>
                <w:b/>
                <w:color w:val="FFFFFF"/>
                <w:sz w:val="17"/>
              </w:rPr>
              <w:t>Risk Factor</w:t>
            </w:r>
          </w:p>
        </w:tc>
        <w:tc>
          <w:tcPr>
            <w:tcW w:type="dxa" w:w="7087"/>
            <w:shd w:val="clear" w:color="auto" w:fill="2D6A4F"/>
          </w:tcPr>
          <w:p>
            <w:pPr>
              <w:jc w:val="center"/>
            </w:pPr>
            <w:r>
              <w:rPr>
                <w:rFonts w:ascii="Calibri" w:hAnsi="Calibri"/>
                <w:b/>
                <w:color w:val="FFFFFF"/>
                <w:sz w:val="17"/>
              </w:rPr>
              <w:t>Detail</w:t>
            </w:r>
          </w:p>
        </w:tc>
      </w:tr>
      <w:tr>
        <w:tc>
          <w:tcPr>
            <w:tcW w:type="dxa" w:w="2551"/>
            <w:shd w:val="clear" w:color="auto" w:fill="FFFFFF"/>
          </w:tcPr>
          <w:p>
            <w:r>
              <w:rPr>
                <w:rFonts w:ascii="Calibri" w:hAnsi="Calibri"/>
                <w:b w:val="0"/>
                <w:color w:val="1A1A1A"/>
                <w:sz w:val="17"/>
              </w:rPr>
              <w:t>Plant Height / Maturity</w:t>
            </w:r>
          </w:p>
        </w:tc>
        <w:tc>
          <w:tcPr>
            <w:tcW w:type="dxa" w:w="7087"/>
            <w:shd w:val="clear" w:color="auto" w:fill="FFFFFF"/>
          </w:tcPr>
          <w:p>
            <w:r>
              <w:rPr>
                <w:rFonts w:ascii="Calibri" w:hAnsi="Calibri"/>
                <w:b w:val="0"/>
                <w:color w:val="1A1A1A"/>
                <w:sz w:val="17"/>
              </w:rPr>
              <w:t>Young, dark green sorghum regrowth (usually &lt;50 cm tall) holds the HIGHEST concentration of toxins</w:t>
            </w:r>
          </w:p>
        </w:tc>
      </w:tr>
      <w:tr>
        <w:tc>
          <w:tcPr>
            <w:tcW w:type="dxa" w:w="2551"/>
            <w:shd w:val="clear" w:color="auto" w:fill="EAF7EE"/>
          </w:tcPr>
          <w:p>
            <w:r>
              <w:rPr>
                <w:rFonts w:ascii="Calibri" w:hAnsi="Calibri"/>
                <w:b w:val="0"/>
                <w:color w:val="1A1A1A"/>
                <w:sz w:val="17"/>
              </w:rPr>
              <w:t>Environmental Stress</w:t>
            </w:r>
          </w:p>
        </w:tc>
        <w:tc>
          <w:tcPr>
            <w:tcW w:type="dxa" w:w="7087"/>
            <w:shd w:val="clear" w:color="auto" w:fill="EAF7EE"/>
          </w:tcPr>
          <w:p>
            <w:r>
              <w:rPr>
                <w:rFonts w:ascii="Calibri" w:hAnsi="Calibri"/>
                <w:b w:val="0"/>
                <w:color w:val="1A1A1A"/>
                <w:sz w:val="17"/>
              </w:rPr>
              <w:t>Drought-stressed, wilted, or frost-damaged sorghum plants exhibit increased toxicity</w:t>
            </w:r>
          </w:p>
        </w:tc>
      </w:tr>
      <w:tr>
        <w:tc>
          <w:tcPr>
            <w:tcW w:type="dxa" w:w="2551"/>
            <w:shd w:val="clear" w:color="auto" w:fill="FFFFFF"/>
          </w:tcPr>
          <w:p>
            <w:r>
              <w:rPr>
                <w:rFonts w:ascii="Calibri" w:hAnsi="Calibri"/>
                <w:b w:val="0"/>
                <w:color w:val="1A1A1A"/>
                <w:sz w:val="17"/>
              </w:rPr>
              <w:t>Digestive Process</w:t>
            </w:r>
          </w:p>
        </w:tc>
        <w:tc>
          <w:tcPr>
            <w:tcW w:type="dxa" w:w="7087"/>
            <w:shd w:val="clear" w:color="auto" w:fill="FFFFFF"/>
          </w:tcPr>
          <w:p>
            <w:r>
              <w:rPr>
                <w:rFonts w:ascii="Calibri" w:hAnsi="Calibri"/>
                <w:b w:val="0"/>
                <w:color w:val="1A1A1A"/>
                <w:sz w:val="17"/>
              </w:rPr>
              <w:t>Elephants are hindgut fermenters — large quantities of fresh, young, or stressed sorghum fodder quickly overwhelm their metabolic detoxification capacity</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5.4  Management, Antidote &amp; First Aid</w:t>
            </w:r>
          </w:p>
        </w:tc>
      </w:tr>
    </w:tbl>
    <w:p>
      <w:pPr>
        <w:spacing w:after="40"/>
      </w:pPr>
    </w:p>
    <w:p>
      <w:pPr>
        <w:spacing w:before="60" w:after="20"/>
      </w:pPr>
      <w:r>
        <w:rPr>
          <w:rFonts w:ascii="Calibri" w:hAnsi="Calibri"/>
          <w:b/>
          <w:color w:val="2D6A4F"/>
          <w:sz w:val="20"/>
        </w:rPr>
        <w:t>Immediate Management:</w:t>
      </w:r>
    </w:p>
    <w:p>
      <w:pPr>
        <w:spacing w:after="40"/>
        <w:ind w:left="283" w:hanging="170"/>
      </w:pPr>
      <w:r>
        <w:rPr>
          <w:rFonts w:ascii="Calibri" w:hAnsi="Calibri"/>
          <w:color w:val="1A1A1A"/>
          <w:sz w:val="19"/>
        </w:rPr>
        <w:t>•  REMOVE THE FOOD SOURCE: move the herd away from the sorghum field immediately</w:t>
      </w:r>
    </w:p>
    <w:p>
      <w:pPr>
        <w:spacing w:after="40"/>
        <w:ind w:left="283" w:hanging="170"/>
      </w:pPr>
      <w:r>
        <w:rPr>
          <w:rFonts w:ascii="Calibri" w:hAnsi="Calibri"/>
          <w:color w:val="1A1A1A"/>
          <w:sz w:val="19"/>
        </w:rPr>
        <w:t>•  ANTIDOTE THERAPY: administer specific cyanide antidote kit (Sodium Nitrite + Sodium Thiosulphate)</w:t>
      </w:r>
    </w:p>
    <w:p>
      <w:pPr>
        <w:spacing w:before="60" w:after="20"/>
      </w:pPr>
      <w:r>
        <w:rPr>
          <w:rFonts w:ascii="Calibri" w:hAnsi="Calibri"/>
          <w:b/>
          <w:color w:val="2D6A4F"/>
          <w:sz w:val="20"/>
        </w:rPr>
        <w:t>Antidote &amp; Treatment Protocol:</w:t>
      </w:r>
    </w:p>
    <w:p>
      <w:pPr>
        <w:spacing w:after="40"/>
        <w:ind w:left="283" w:hanging="170"/>
      </w:pPr>
      <w:r>
        <w:rPr>
          <w:rFonts w:ascii="Calibri" w:hAnsi="Calibri"/>
          <w:color w:val="1A1A1A"/>
          <w:sz w:val="19"/>
        </w:rPr>
        <w:t>•  SODIUM NITRITE: administered IV (e.g., 1 gm to 3 gm in 50 ml distilled water) — converts haemoglobin into methaemoglobin, which binds free cyanide to form cyanmethaemoglobin (drawing cyanide off cytochrome oxidase)</w:t>
      </w:r>
    </w:p>
    <w:p>
      <w:pPr>
        <w:spacing w:after="40"/>
        <w:ind w:left="283" w:hanging="170"/>
      </w:pPr>
      <w:r>
        <w:rPr>
          <w:rFonts w:ascii="Calibri" w:hAnsi="Calibri"/>
          <w:color w:val="1A1A1A"/>
          <w:sz w:val="19"/>
        </w:rPr>
        <w:t>•  SODIUM THIOSULPHATE: followed immediately by IV injection — converts cyanide into NON-TOXIC THIOCYANATE, which is safely excreted in urine</w:t>
      </w:r>
    </w:p>
    <w:p>
      <w:pPr>
        <w:spacing w:before="60" w:after="20"/>
      </w:pPr>
      <w:r>
        <w:rPr>
          <w:rFonts w:ascii="Calibri" w:hAnsi="Calibri"/>
          <w:b/>
          <w:color w:val="2D6A4F"/>
          <w:sz w:val="20"/>
        </w:rPr>
        <w:t>Prevention:</w:t>
      </w:r>
    </w:p>
    <w:p>
      <w:pPr>
        <w:spacing w:after="40"/>
        <w:ind w:left="283" w:hanging="170"/>
      </w:pPr>
      <w:r>
        <w:rPr>
          <w:rFonts w:ascii="Calibri" w:hAnsi="Calibri"/>
          <w:color w:val="1A1A1A"/>
          <w:sz w:val="19"/>
        </w:rPr>
        <w:t>•  AVOID GRAZING/FEEDING YOUNG PLANTS: do not graze on sorghum less than 18–24 inches (45–60 cm) tall (or &lt;7 weeks old) — concentrations are highest then</w:t>
      </w:r>
    </w:p>
    <w:p>
      <w:pPr>
        <w:spacing w:after="40"/>
        <w:ind w:left="283" w:hanging="170"/>
      </w:pPr>
      <w:r>
        <w:rPr>
          <w:rFonts w:ascii="Calibri" w:hAnsi="Calibri"/>
          <w:color w:val="1A1A1A"/>
          <w:sz w:val="19"/>
        </w:rPr>
        <w:t>•  WAIT AFTER WEATHER STRESS: avoid grazing immediately after a drought ends or a frost occurs — stress spikes the dhurrin content</w:t>
      </w:r>
    </w:p>
    <w:p>
      <w:pPr>
        <w:spacing w:after="40"/>
        <w:ind w:left="283" w:hanging="170"/>
      </w:pPr>
      <w:r>
        <w:rPr>
          <w:rFonts w:ascii="Calibri" w:hAnsi="Calibri"/>
          <w:color w:val="1A1A1A"/>
          <w:sz w:val="19"/>
        </w:rPr>
        <w:t>•  HAY vs PASTURE: Sorghum hay can be safer than fresh pasture (curing reduces HCN by roughly half) — but testing forage before feeding is highly advised</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5.5  CASE STUDY — HCN Poisoning in Circus Elephants (Zoo Print, June 2010)</w:t>
            </w:r>
          </w:p>
        </w:tc>
      </w:tr>
    </w:tbl>
    <w:p>
      <w:pPr>
        <w:spacing w:after="40"/>
      </w:pPr>
    </w:p>
    <w:p>
      <w:pPr>
        <w:spacing w:after="80"/>
        <w:jc w:val="both"/>
      </w:pPr>
      <w:r>
        <w:rPr>
          <w:rFonts w:ascii="Calibri" w:hAnsi="Calibri"/>
          <w:b w:val="0"/>
          <w:i w:val="0"/>
          <w:color w:val="1A1A1A"/>
          <w:sz w:val="19"/>
        </w:rPr>
        <w:t>Documented by Dr. A B Shrivastava in "Management of Hydrocyanic Acid Poisoning in Asian Elephants" (Zoo Print vol. XXV, 6 June 2010):</w:t>
      </w:r>
    </w:p>
    <w:p>
      <w:pPr>
        <w:spacing w:after="40"/>
        <w:ind w:left="283" w:hanging="170"/>
      </w:pPr>
      <w:r>
        <w:rPr>
          <w:rFonts w:ascii="Calibri" w:hAnsi="Calibri"/>
          <w:color w:val="1A1A1A"/>
          <w:sz w:val="19"/>
        </w:rPr>
        <w:t>•  Five adult captive elephants were fed a large quantity of fresh Jowar (Sorghum) during their stay at a circus in Jabalpur — these elephants were not accustomed to Sorghum</w:t>
      </w:r>
    </w:p>
    <w:p>
      <w:pPr>
        <w:spacing w:after="40"/>
        <w:ind w:left="283" w:hanging="170"/>
      </w:pPr>
      <w:r>
        <w:rPr>
          <w:rFonts w:ascii="Calibri" w:hAnsi="Calibri"/>
          <w:color w:val="1A1A1A"/>
          <w:sz w:val="19"/>
        </w:rPr>
        <w:t>•  Signs: restlessness and diarrhoea; routine anti-diarrhoeal treatment failed; condition became serious</w:t>
      </w:r>
    </w:p>
    <w:p>
      <w:pPr>
        <w:spacing w:after="40"/>
        <w:ind w:left="283" w:hanging="170"/>
      </w:pPr>
      <w:r>
        <w:rPr>
          <w:rFonts w:ascii="Calibri" w:hAnsi="Calibri"/>
          <w:color w:val="1A1A1A"/>
          <w:sz w:val="19"/>
        </w:rPr>
        <w:t>•  One aged elephant became critical; immediate cessation of Jowar feeding; body temperature 97–98°F (subnormal)</w:t>
      </w:r>
    </w:p>
    <w:p>
      <w:pPr>
        <w:spacing w:after="40"/>
        <w:ind w:left="283" w:hanging="170"/>
      </w:pPr>
      <w:r>
        <w:rPr>
          <w:rFonts w:ascii="Calibri" w:hAnsi="Calibri"/>
          <w:color w:val="1A1A1A"/>
          <w:sz w:val="19"/>
        </w:rPr>
        <w:t>•  Treatment: 8–10 litres dextrose saline + 30 ml MVI via ear vein; Sodium thiosulphate 50 gm in water orally through drinking water, repeated after 12 hrs</w:t>
      </w:r>
    </w:p>
    <w:p>
      <w:pPr>
        <w:spacing w:after="40"/>
        <w:ind w:left="283" w:hanging="170"/>
      </w:pPr>
      <w:r>
        <w:rPr>
          <w:rFonts w:ascii="Calibri" w:hAnsi="Calibri"/>
          <w:color w:val="1A1A1A"/>
          <w:sz w:val="19"/>
        </w:rPr>
        <w:t>•  Aged elephant: given 3rd dose; cold dextrose saline 10 L + small pieces of ice + Tab. Diadin per rectum via tube</w:t>
      </w:r>
    </w:p>
    <w:p>
      <w:pPr>
        <w:spacing w:after="40"/>
        <w:ind w:left="283" w:hanging="170"/>
      </w:pPr>
      <w:r>
        <w:rPr>
          <w:rFonts w:ascii="Calibri" w:hAnsi="Calibri"/>
          <w:color w:val="1A1A1A"/>
          <w:sz w:val="19"/>
        </w:rPr>
        <w:t>•  Outcome: by the next morning the 5th (aged) elephant showed recovery — started drinking water and eating fresh green grass</w:t>
      </w:r>
    </w:p>
    <w:p>
      <w:pPr>
        <w:spacing w:after="40"/>
        <w:ind w:left="283" w:hanging="170"/>
      </w:pPr>
      <w:r>
        <w:rPr>
          <w:rFonts w:ascii="Calibri" w:hAnsi="Calibri"/>
          <w:color w:val="1A1A1A"/>
          <w:sz w:val="19"/>
        </w:rPr>
        <w:t>•  Reference: Radostits OM, Blood DC &amp; Gay CC (1994). Veterinary Medicine, V edition. ELBS/Tindall</w:t>
      </w:r>
    </w:p>
    <w:tbl>
      <w:tblPr>
        <w:tblStyle w:val="TableGrid"/>
        <w:tblW w:type="auto" w:w="0"/>
        <w:tblLook w:firstColumn="1" w:firstRow="1" w:lastColumn="0" w:lastRow="0" w:noHBand="0" w:noVBand="1" w:val="04A0"/>
      </w:tblPr>
      <w:tblGrid>
        <w:gridCol w:w="9638"/>
      </w:tblGrid>
      <w:tr>
        <w:tc>
          <w:tcPr>
            <w:tcW w:type="dxa" w:w="9638"/>
            <w:shd w:val="clear" w:color="auto" w:fill="FAE0D8"/>
          </w:tcPr>
          <w:p>
            <w:pPr>
              <w:spacing w:before="100" w:after="100"/>
            </w:pPr>
            <w:r>
              <w:rPr>
                <w:rFonts w:ascii="Calibri" w:hAnsi="Calibri"/>
                <w:b/>
                <w:color w:val="8B0000"/>
                <w:sz w:val="18"/>
              </w:rPr>
              <w:t>HCN TOXICOLOGY SAMPLING: Stomach contents (sealed, airtight, frozen — HCN is volatile and escapes); blood (10 mL fluoride-oxalate, frozen); liver and muscle (frozen); suspected plant material. Submit RAPIDLY to toxicology lab as cyanide degrades on storage. Note cherry-red tissue colour and bitter-almond odour at necropsy as supportive evidence.</w:t>
            </w:r>
          </w:p>
        </w:tc>
      </w:tr>
    </w:tbl>
    <w:p>
      <w:pPr>
        <w:spacing w:after="40"/>
      </w:pPr>
    </w:p>
    <w:p>
      <w:pPr>
        <w:spacing w:before="0" w:after="0"/>
      </w:pPr>
      <w:r>
        <w:br w:type="page"/>
      </w:r>
    </w:p>
    <w:tbl>
      <w:tblPr>
        <w:tblStyle w:val="TableGrid"/>
        <w:tblW w:type="auto" w:w="0"/>
        <w:tblLook w:firstColumn="1" w:firstRow="1" w:lastColumn="0" w:lastRow="0" w:noHBand="0" w:noVBand="1" w:val="04A0"/>
      </w:tblPr>
      <w:tblGrid>
        <w:gridCol w:w="9638"/>
      </w:tblGrid>
      <w:tr>
        <w:tc>
          <w:tcPr>
            <w:tcW w:type="dxa" w:w="9638"/>
            <w:shd w:val="clear" w:color="auto" w:fill="1B4332"/>
          </w:tcPr>
          <w:p>
            <w:pPr>
              <w:spacing w:before="160" w:after="160"/>
            </w:pPr>
            <w:r>
              <w:rPr>
                <w:rFonts w:ascii="Calibri" w:hAnsi="Calibri"/>
                <w:b/>
                <w:color w:val="FFFFFF"/>
                <w:sz w:val="26"/>
              </w:rPr>
              <w:t>6.  Electrocution in Elephants</w:t>
            </w:r>
          </w:p>
        </w:tc>
      </w:tr>
    </w:tbl>
    <w:p>
      <w:pPr>
        <w:spacing w:after="40"/>
      </w:pPr>
    </w:p>
    <w:p>
      <w:pPr>
        <w:spacing w:before="80" w:after="40"/>
        <w:jc w:val="center"/>
      </w:pPr>
      <w:r>
        <w:drawing>
          <wp:inline xmlns:a="http://schemas.openxmlformats.org/drawingml/2006/main" xmlns:pic="http://schemas.openxmlformats.org/drawingml/2006/picture">
            <wp:extent cx="4680000" cy="6056471"/>
            <wp:docPr id="7" name="Picture 7"/>
            <wp:cNvGraphicFramePr>
              <a:graphicFrameLocks noChangeAspect="1"/>
            </wp:cNvGraphicFramePr>
            <a:graphic>
              <a:graphicData uri="http://schemas.openxmlformats.org/drawingml/2006/picture">
                <pic:pic>
                  <pic:nvPicPr>
                    <pic:cNvPr id="0" name="page_007.png"/>
                    <pic:cNvPicPr/>
                  </pic:nvPicPr>
                  <pic:blipFill>
                    <a:blip r:embed="rId15"/>
                    <a:stretch>
                      <a:fillRect/>
                    </a:stretch>
                  </pic:blipFill>
                  <pic:spPr>
                    <a:xfrm>
                      <a:off x="0" y="0"/>
                      <a:ext cx="4680000" cy="6056471"/>
                    </a:xfrm>
                    <a:prstGeom prst="rect"/>
                  </pic:spPr>
                </pic:pic>
              </a:graphicData>
            </a:graphic>
          </wp:inline>
        </w:drawing>
      </w:r>
    </w:p>
    <w:p>
      <w:pPr>
        <w:spacing w:after="120"/>
        <w:jc w:val="center"/>
      </w:pPr>
      <w:r>
        <w:rPr>
          <w:rFonts w:ascii="Calibri" w:hAnsi="Calibri"/>
          <w:i/>
          <w:color w:val="555555"/>
          <w:sz w:val="16"/>
        </w:rPr>
        <w:t>Slide 7 — Electrocution in an elephant (Nov 2020): field photographs and tusk removal</w:t>
      </w:r>
    </w:p>
    <w:p>
      <w:pPr>
        <w:spacing w:before="80" w:after="40"/>
        <w:jc w:val="center"/>
      </w:pPr>
      <w:r>
        <w:drawing>
          <wp:inline xmlns:a="http://schemas.openxmlformats.org/drawingml/2006/main" xmlns:pic="http://schemas.openxmlformats.org/drawingml/2006/picture">
            <wp:extent cx="4680000" cy="6056471"/>
            <wp:docPr id="8" name="Picture 8"/>
            <wp:cNvGraphicFramePr>
              <a:graphicFrameLocks noChangeAspect="1"/>
            </wp:cNvGraphicFramePr>
            <a:graphic>
              <a:graphicData uri="http://schemas.openxmlformats.org/drawingml/2006/picture">
                <pic:pic>
                  <pic:nvPicPr>
                    <pic:cNvPr id="0" name="page_009.png"/>
                    <pic:cNvPicPr/>
                  </pic:nvPicPr>
                  <pic:blipFill>
                    <a:blip r:embed="rId16"/>
                    <a:stretch>
                      <a:fillRect/>
                    </a:stretch>
                  </pic:blipFill>
                  <pic:spPr>
                    <a:xfrm>
                      <a:off x="0" y="0"/>
                      <a:ext cx="4680000" cy="6056471"/>
                    </a:xfrm>
                    <a:prstGeom prst="rect"/>
                  </pic:spPr>
                </pic:pic>
              </a:graphicData>
            </a:graphic>
          </wp:inline>
        </w:drawing>
      </w:r>
    </w:p>
    <w:p>
      <w:pPr>
        <w:spacing w:after="120"/>
        <w:jc w:val="center"/>
      </w:pPr>
      <w:r>
        <w:rPr>
          <w:rFonts w:ascii="Calibri" w:hAnsi="Calibri"/>
          <w:i/>
          <w:color w:val="555555"/>
          <w:sz w:val="16"/>
        </w:rPr>
        <w:t>Slide 9 — Electrocution case: carcass lifting, postmortem field photographs</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6.1  Definition &amp; Mechanics</w:t>
            </w:r>
          </w:p>
        </w:tc>
      </w:tr>
    </w:tbl>
    <w:p>
      <w:pPr>
        <w:spacing w:after="40"/>
      </w:pPr>
    </w:p>
    <w:p>
      <w:pPr>
        <w:spacing w:after="80"/>
        <w:jc w:val="both"/>
      </w:pPr>
      <w:r>
        <w:rPr>
          <w:rFonts w:ascii="Calibri" w:hAnsi="Calibri"/>
          <w:b w:val="0"/>
          <w:i w:val="0"/>
          <w:color w:val="1A1A1A"/>
          <w:sz w:val="19"/>
        </w:rPr>
        <w:t>Electrocution is death or severe injury caused by an electric shock. It occurs when any individual becomes part of an electrical circuit. High levels of voltage and current disrupt the body's natural electrical systems, commonly triggering cardiac arrest or severe electrical burns.</w:t>
      </w:r>
    </w:p>
    <w:tbl>
      <w:tblPr>
        <w:tblStyle w:val="TableGrid"/>
        <w:tblW w:type="auto" w:w="0"/>
        <w:tblLook w:firstColumn="1" w:firstRow="1" w:lastColumn="0" w:lastRow="0" w:noHBand="0" w:noVBand="1" w:val="04A0"/>
      </w:tblPr>
      <w:tblGrid>
        <w:gridCol w:w="4819"/>
        <w:gridCol w:w="4819"/>
      </w:tblGrid>
      <w:tr>
        <w:tc>
          <w:tcPr>
            <w:tcW w:type="dxa" w:w="2268"/>
            <w:shd w:val="clear" w:color="auto" w:fill="2D6A4F"/>
          </w:tcPr>
          <w:p>
            <w:pPr>
              <w:jc w:val="center"/>
            </w:pPr>
            <w:r>
              <w:rPr>
                <w:rFonts w:ascii="Calibri" w:hAnsi="Calibri"/>
                <w:b/>
                <w:color w:val="FFFFFF"/>
                <w:sz w:val="17"/>
              </w:rPr>
              <w:t>Term</w:t>
            </w:r>
          </w:p>
        </w:tc>
        <w:tc>
          <w:tcPr>
            <w:tcW w:type="dxa" w:w="7370"/>
            <w:shd w:val="clear" w:color="auto" w:fill="2D6A4F"/>
          </w:tcPr>
          <w:p>
            <w:pPr>
              <w:jc w:val="center"/>
            </w:pPr>
            <w:r>
              <w:rPr>
                <w:rFonts w:ascii="Calibri" w:hAnsi="Calibri"/>
                <w:b/>
                <w:color w:val="FFFFFF"/>
                <w:sz w:val="17"/>
              </w:rPr>
              <w:t>Definition</w:t>
            </w:r>
          </w:p>
        </w:tc>
      </w:tr>
      <w:tr>
        <w:tc>
          <w:tcPr>
            <w:tcW w:type="dxa" w:w="2268"/>
            <w:shd w:val="clear" w:color="auto" w:fill="FFFFFF"/>
          </w:tcPr>
          <w:p>
            <w:r>
              <w:rPr>
                <w:rFonts w:ascii="Calibri" w:hAnsi="Calibri"/>
                <w:b w:val="0"/>
                <w:color w:val="1A1A1A"/>
                <w:sz w:val="17"/>
              </w:rPr>
              <w:t>Electric Shock</w:t>
            </w:r>
          </w:p>
        </w:tc>
        <w:tc>
          <w:tcPr>
            <w:tcW w:type="dxa" w:w="7370"/>
            <w:shd w:val="clear" w:color="auto" w:fill="FFFFFF"/>
          </w:tcPr>
          <w:p>
            <w:r>
              <w:rPr>
                <w:rFonts w:ascii="Calibri" w:hAnsi="Calibri"/>
                <w:b w:val="0"/>
                <w:color w:val="1A1A1A"/>
                <w:sz w:val="17"/>
              </w:rPr>
              <w:t>A physical sensation or injury caused by electricity passing through the body (e.g., muscle spasms, minor burns). NON-FATAL injury</w:t>
            </w:r>
          </w:p>
        </w:tc>
      </w:tr>
      <w:tr>
        <w:tc>
          <w:tcPr>
            <w:tcW w:type="dxa" w:w="2268"/>
            <w:shd w:val="clear" w:color="auto" w:fill="EAF7EE"/>
          </w:tcPr>
          <w:p>
            <w:r>
              <w:rPr>
                <w:rFonts w:ascii="Calibri" w:hAnsi="Calibri"/>
                <w:b w:val="0"/>
                <w:color w:val="1A1A1A"/>
                <w:sz w:val="17"/>
              </w:rPr>
              <w:t>Electrocution</w:t>
            </w:r>
          </w:p>
        </w:tc>
        <w:tc>
          <w:tcPr>
            <w:tcW w:type="dxa" w:w="7370"/>
            <w:shd w:val="clear" w:color="auto" w:fill="EAF7EE"/>
          </w:tcPr>
          <w:p>
            <w:r>
              <w:rPr>
                <w:rFonts w:ascii="Calibri" w:hAnsi="Calibri"/>
                <w:b w:val="0"/>
                <w:color w:val="1A1A1A"/>
                <w:sz w:val="17"/>
              </w:rPr>
              <w:t>An electric shock that is FATAL</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6.2  Electrocution in Indian Elephants — Statistics</w:t>
            </w:r>
          </w:p>
        </w:tc>
      </w:tr>
    </w:tbl>
    <w:p>
      <w:pPr>
        <w:spacing w:after="40"/>
      </w:pPr>
    </w:p>
    <w:p>
      <w:pPr>
        <w:spacing w:after="40"/>
        <w:ind w:left="283" w:hanging="170"/>
      </w:pPr>
      <w:r>
        <w:rPr>
          <w:rFonts w:ascii="Calibri" w:hAnsi="Calibri"/>
          <w:color w:val="1A1A1A"/>
          <w:sz w:val="19"/>
        </w:rPr>
        <w:t>•  Electrocution is the SINGLE LARGEST cause of unnatural elephant death in India</w:t>
      </w:r>
    </w:p>
    <w:p>
      <w:pPr>
        <w:spacing w:after="40"/>
        <w:ind w:left="283" w:hanging="170"/>
      </w:pPr>
      <w:r>
        <w:rPr>
          <w:rFonts w:ascii="Calibri" w:hAnsi="Calibri"/>
          <w:color w:val="1A1A1A"/>
          <w:sz w:val="19"/>
        </w:rPr>
        <w:t>•  Lok Sabha (July 2024): 392 of 528 unnatural deaths (74%) over 5 years were electrocution</w:t>
      </w:r>
    </w:p>
    <w:p>
      <w:pPr>
        <w:spacing w:after="40"/>
        <w:ind w:left="283" w:hanging="170"/>
      </w:pPr>
      <w:r>
        <w:rPr>
          <w:rFonts w:ascii="Calibri" w:hAnsi="Calibri"/>
          <w:color w:val="1A1A1A"/>
          <w:sz w:val="19"/>
        </w:rPr>
        <w:t>•  2010–2020: electrocution killed 741 of 1,160 (≈64%) non-natural deaths; long-run share since 2009 ≈ 67%</w:t>
      </w:r>
    </w:p>
    <w:p>
      <w:pPr>
        <w:spacing w:after="40"/>
        <w:ind w:left="283" w:hanging="170"/>
      </w:pPr>
      <w:r>
        <w:rPr>
          <w:rFonts w:ascii="Calibri" w:hAnsi="Calibri"/>
          <w:color w:val="1A1A1A"/>
          <w:sz w:val="19"/>
        </w:rPr>
        <w:t>•  State-wise (2024 dataset): Odisha 71, Assam 55, Karnataka 52, Tamil Nadu 49, Chhattisgarh 32, Jharkhand 30, Kerala 29</w:t>
      </w:r>
    </w:p>
    <w:p>
      <w:pPr>
        <w:spacing w:after="40"/>
        <w:ind w:left="283" w:hanging="170"/>
      </w:pPr>
      <w:r>
        <w:rPr>
          <w:rFonts w:ascii="Calibri" w:hAnsi="Calibri"/>
          <w:color w:val="1A1A1A"/>
          <w:sz w:val="19"/>
        </w:rPr>
        <w:t>•  NOTE: headline 5-year figures (e.g., 348 in 2022 vs 392 in 2024) come from different reporting windows — do not sum across statements</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6.3  Sources &amp; Mechanisms</w:t>
            </w:r>
          </w:p>
        </w:tc>
      </w:tr>
    </w:tbl>
    <w:p>
      <w:pPr>
        <w:spacing w:after="40"/>
      </w:pPr>
    </w:p>
    <w:tbl>
      <w:tblPr>
        <w:tblStyle w:val="TableGrid"/>
        <w:tblW w:type="auto" w:w="0"/>
        <w:tblLook w:firstColumn="1" w:firstRow="1" w:lastColumn="0" w:lastRow="0" w:noHBand="0" w:noVBand="1" w:val="04A0"/>
      </w:tblPr>
      <w:tblGrid>
        <w:gridCol w:w="4819"/>
        <w:gridCol w:w="4819"/>
      </w:tblGrid>
      <w:tr>
        <w:tc>
          <w:tcPr>
            <w:tcW w:type="dxa" w:w="2268"/>
            <w:shd w:val="clear" w:color="auto" w:fill="2D6A4F"/>
          </w:tcPr>
          <w:p>
            <w:pPr>
              <w:jc w:val="center"/>
            </w:pPr>
            <w:r>
              <w:rPr>
                <w:rFonts w:ascii="Calibri" w:hAnsi="Calibri"/>
                <w:b/>
                <w:color w:val="FFFFFF"/>
                <w:sz w:val="17"/>
              </w:rPr>
              <w:t>Source</w:t>
            </w:r>
          </w:p>
        </w:tc>
        <w:tc>
          <w:tcPr>
            <w:tcW w:type="dxa" w:w="7370"/>
            <w:shd w:val="clear" w:color="auto" w:fill="2D6A4F"/>
          </w:tcPr>
          <w:p>
            <w:pPr>
              <w:jc w:val="center"/>
            </w:pPr>
            <w:r>
              <w:rPr>
                <w:rFonts w:ascii="Calibri" w:hAnsi="Calibri"/>
                <w:b/>
                <w:color w:val="FFFFFF"/>
                <w:sz w:val="17"/>
              </w:rPr>
              <w:t>Description</w:t>
            </w:r>
          </w:p>
        </w:tc>
      </w:tr>
      <w:tr>
        <w:tc>
          <w:tcPr>
            <w:tcW w:type="dxa" w:w="2268"/>
            <w:shd w:val="clear" w:color="auto" w:fill="FFFFFF"/>
          </w:tcPr>
          <w:p>
            <w:r>
              <w:rPr>
                <w:rFonts w:ascii="Calibri" w:hAnsi="Calibri"/>
                <w:b w:val="0"/>
                <w:color w:val="1A1A1A"/>
                <w:sz w:val="17"/>
              </w:rPr>
              <w:t>Illegal live-wire fences</w:t>
            </w:r>
          </w:p>
        </w:tc>
        <w:tc>
          <w:tcPr>
            <w:tcW w:type="dxa" w:w="7370"/>
            <w:shd w:val="clear" w:color="auto" w:fill="FFFFFF"/>
          </w:tcPr>
          <w:p>
            <w:r>
              <w:rPr>
                <w:rFonts w:ascii="Calibri" w:hAnsi="Calibri"/>
                <w:b w:val="0"/>
                <w:color w:val="1A1A1A"/>
                <w:sz w:val="17"/>
              </w:rPr>
              <w:t>Power illegally tapped ("hooking") from 11 kV HT or LT lines to electrify crop/home fences — the LEADING driver; deliberate, sometimes for poaching</w:t>
            </w:r>
          </w:p>
        </w:tc>
      </w:tr>
      <w:tr>
        <w:tc>
          <w:tcPr>
            <w:tcW w:type="dxa" w:w="2268"/>
            <w:shd w:val="clear" w:color="auto" w:fill="EAF7EE"/>
          </w:tcPr>
          <w:p>
            <w:r>
              <w:rPr>
                <w:rFonts w:ascii="Calibri" w:hAnsi="Calibri"/>
                <w:b w:val="0"/>
                <w:color w:val="1A1A1A"/>
                <w:sz w:val="17"/>
              </w:rPr>
              <w:t>Sagging overhead lines</w:t>
            </w:r>
          </w:p>
        </w:tc>
        <w:tc>
          <w:tcPr>
            <w:tcW w:type="dxa" w:w="7370"/>
            <w:shd w:val="clear" w:color="auto" w:fill="EAF7EE"/>
          </w:tcPr>
          <w:p>
            <w:r>
              <w:rPr>
                <w:rFonts w:ascii="Calibri" w:hAnsi="Calibri"/>
                <w:b w:val="0"/>
                <w:color w:val="1A1A1A"/>
                <w:sz w:val="17"/>
              </w:rPr>
              <w:t>Low-hanging 11 kV lines (observed as low as ~1.5 m vs an ~3.3 m tall elephant) due to wide pole spacing, base erosion, waterlogging</w:t>
            </w:r>
          </w:p>
        </w:tc>
      </w:tr>
      <w:tr>
        <w:tc>
          <w:tcPr>
            <w:tcW w:type="dxa" w:w="2268"/>
            <w:shd w:val="clear" w:color="auto" w:fill="FFFFFF"/>
          </w:tcPr>
          <w:p>
            <w:r>
              <w:rPr>
                <w:rFonts w:ascii="Calibri" w:hAnsi="Calibri"/>
                <w:b w:val="0"/>
                <w:color w:val="1A1A1A"/>
                <w:sz w:val="17"/>
              </w:rPr>
              <w:t>Solar-fence tampering</w:t>
            </w:r>
          </w:p>
        </w:tc>
        <w:tc>
          <w:tcPr>
            <w:tcW w:type="dxa" w:w="7370"/>
            <w:shd w:val="clear" w:color="auto" w:fill="FFFFFF"/>
          </w:tcPr>
          <w:p>
            <w:r>
              <w:rPr>
                <w:rFonts w:ascii="Calibri" w:hAnsi="Calibri"/>
                <w:b w:val="0"/>
                <w:color w:val="1A1A1A"/>
                <w:sz w:val="17"/>
              </w:rPr>
              <w:t>Bypassing the low-current pulsed energiser and connecting fence wire directly to mains — turns a legal, non-lethal deterrent into a lethal trap</w:t>
            </w:r>
          </w:p>
        </w:tc>
      </w:tr>
      <w:tr>
        <w:tc>
          <w:tcPr>
            <w:tcW w:type="dxa" w:w="2268"/>
            <w:shd w:val="clear" w:color="auto" w:fill="EAF7EE"/>
          </w:tcPr>
          <w:p>
            <w:r>
              <w:rPr>
                <w:rFonts w:ascii="Calibri" w:hAnsi="Calibri"/>
                <w:b w:val="0"/>
                <w:color w:val="1A1A1A"/>
                <w:sz w:val="17"/>
              </w:rPr>
              <w:t>Accidental (legal lines)</w:t>
            </w:r>
          </w:p>
        </w:tc>
        <w:tc>
          <w:tcPr>
            <w:tcW w:type="dxa" w:w="7370"/>
            <w:shd w:val="clear" w:color="auto" w:fill="EAF7EE"/>
          </w:tcPr>
          <w:p>
            <w:r>
              <w:rPr>
                <w:rFonts w:ascii="Calibri" w:hAnsi="Calibri"/>
                <w:b w:val="0"/>
                <w:color w:val="1A1A1A"/>
                <w:sz w:val="17"/>
              </w:rPr>
              <w:t>Genuine accidental contact with sagging but legally installed transmission infrastructure in corridors</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6.4  Postmortem / Necropsy Findings</w:t>
            </w:r>
          </w:p>
        </w:tc>
      </w:tr>
    </w:tbl>
    <w:p>
      <w:pPr>
        <w:spacing w:after="40"/>
      </w:pPr>
    </w:p>
    <w:p>
      <w:pPr>
        <w:spacing w:after="40"/>
        <w:ind w:left="283" w:hanging="170"/>
      </w:pPr>
      <w:r>
        <w:rPr>
          <w:rFonts w:ascii="Calibri" w:hAnsi="Calibri"/>
          <w:color w:val="1A1A1A"/>
          <w:sz w:val="19"/>
        </w:rPr>
        <w:t>•  CURRENT MARK / ELECTRIC MARK (gross "gold standard"): crater-like skin elevation around a sunken pale centre at the contact point — trunk tip, feet, dorsum</w:t>
      </w:r>
    </w:p>
    <w:p>
      <w:pPr>
        <w:spacing w:after="40"/>
        <w:ind w:left="283" w:hanging="170"/>
      </w:pPr>
      <w:r>
        <w:rPr>
          <w:rFonts w:ascii="Calibri" w:hAnsi="Calibri"/>
          <w:color w:val="1A1A1A"/>
          <w:sz w:val="19"/>
        </w:rPr>
        <w:t>•  JOULE BURN: heat-generated burn — collagen denaturation + dermal oedema; singed hair; Grade III–IV burns, blistering, bone/muscle exposure</w:t>
      </w:r>
    </w:p>
    <w:p>
      <w:pPr>
        <w:spacing w:after="40"/>
        <w:ind w:left="283" w:hanging="170"/>
      </w:pPr>
      <w:r>
        <w:rPr>
          <w:rFonts w:ascii="Calibri" w:hAnsi="Calibri"/>
          <w:color w:val="1A1A1A"/>
          <w:sz w:val="19"/>
        </w:rPr>
        <w:t>•  METALLIZATION: microscopic conductor-metal particles deposited in skin at contact — reported in &gt;50% of cases (detectable histochemically/SEM)</w:t>
      </w:r>
    </w:p>
    <w:p>
      <w:pPr>
        <w:spacing w:after="40"/>
        <w:ind w:left="283" w:hanging="170"/>
      </w:pPr>
      <w:r>
        <w:rPr>
          <w:rFonts w:ascii="Calibri" w:hAnsi="Calibri"/>
          <w:color w:val="1A1A1A"/>
          <w:sz w:val="19"/>
        </w:rPr>
        <w:t>•  HISTOPATHOLOGY: coagulative necrosis of epidermis; intra/sub-epidermal clefting; "NUCLEAR STREAMING" — elongation, palisading and hyperchromasia of basal epidermal nuclei aligned to current flow; dermal collagen homogenisation</w:t>
      </w:r>
    </w:p>
    <w:p>
      <w:pPr>
        <w:spacing w:after="40"/>
        <w:ind w:left="283" w:hanging="170"/>
      </w:pPr>
      <w:r>
        <w:rPr>
          <w:rFonts w:ascii="Calibri" w:hAnsi="Calibri"/>
          <w:color w:val="1A1A1A"/>
          <w:sz w:val="19"/>
        </w:rPr>
        <w:t>•  INTERNAL: generalised visceral congestion (brain, heart, lungs); pulmonary oedema; sub-epicardial/endocardial petechiae; myocardial necrosis; rhabdomyolysis; slow-clotting dark blood; bloody orifice discharge</w:t>
      </w:r>
    </w:p>
    <w:p>
      <w:pPr>
        <w:spacing w:after="40"/>
        <w:ind w:left="283" w:hanging="170"/>
      </w:pPr>
      <w:r>
        <w:rPr>
          <w:rFonts w:ascii="Calibri" w:hAnsi="Calibri"/>
          <w:color w:val="1A1A1A"/>
          <w:sz w:val="19"/>
        </w:rPr>
        <w:t>•  Dr. Shrivastava note: "Experience — charcoal powder" — charred contact tissue has a charcoal-like appearance</w:t>
      </w:r>
    </w:p>
    <w:p>
      <w:pPr>
        <w:spacing w:after="40"/>
        <w:ind w:left="283" w:hanging="170"/>
      </w:pPr>
      <w:r>
        <w:rPr>
          <w:rFonts w:ascii="Calibri" w:hAnsi="Calibri"/>
          <w:color w:val="1A1A1A"/>
          <w:sz w:val="19"/>
        </w:rPr>
        <w:t>•  CAVEAT: nuclear streaming and coagulative necrosis are NOT pathognomonic (also seen in flame/thermal burns); gross lesions may be ABSENT if contact area is wide or skin is wet — diagnosis leans on lesion + scene/circumstantial evidence</w:t>
      </w:r>
    </w:p>
    <w:p>
      <w:pPr>
        <w:spacing w:after="40"/>
        <w:ind w:left="283" w:hanging="170"/>
      </w:pPr>
      <w:r>
        <w:rPr>
          <w:rFonts w:ascii="Calibri" w:hAnsi="Calibri"/>
          <w:color w:val="1A1A1A"/>
          <w:sz w:val="19"/>
        </w:rPr>
        <w:t>•  Reference: Schulze C et al. (2016). Electrical Injuries in Animals: Causes, Pathogenesis, and Morphological Findings. Veterinary Pathology</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6.5  Lightning Strike vs Man-Made Electrocution</w:t>
            </w:r>
          </w:p>
        </w:tc>
      </w:tr>
    </w:tbl>
    <w:p>
      <w:pPr>
        <w:spacing w:after="40"/>
      </w:pPr>
    </w:p>
    <w:tbl>
      <w:tblPr>
        <w:tblStyle w:val="TableGrid"/>
        <w:tblW w:type="auto" w:w="0"/>
        <w:tblLook w:firstColumn="1" w:firstRow="1" w:lastColumn="0" w:lastRow="0" w:noHBand="0" w:noVBand="1" w:val="04A0"/>
      </w:tblPr>
      <w:tblGrid>
        <w:gridCol w:w="3213"/>
        <w:gridCol w:w="3213"/>
        <w:gridCol w:w="3213"/>
      </w:tblGrid>
      <w:tr>
        <w:tc>
          <w:tcPr>
            <w:tcW w:type="dxa" w:w="1701"/>
            <w:shd w:val="clear" w:color="auto" w:fill="2D6A4F"/>
          </w:tcPr>
          <w:p>
            <w:pPr>
              <w:jc w:val="center"/>
            </w:pPr>
            <w:r>
              <w:rPr>
                <w:rFonts w:ascii="Calibri" w:hAnsi="Calibri"/>
                <w:b/>
                <w:color w:val="FFFFFF"/>
                <w:sz w:val="17"/>
              </w:rPr>
              <w:t>Feature</w:t>
            </w:r>
          </w:p>
        </w:tc>
        <w:tc>
          <w:tcPr>
            <w:tcW w:type="dxa" w:w="3969"/>
            <w:shd w:val="clear" w:color="auto" w:fill="2D6A4F"/>
          </w:tcPr>
          <w:p>
            <w:pPr>
              <w:jc w:val="center"/>
            </w:pPr>
            <w:r>
              <w:rPr>
                <w:rFonts w:ascii="Calibri" w:hAnsi="Calibri"/>
                <w:b/>
                <w:color w:val="FFFFFF"/>
                <w:sz w:val="17"/>
              </w:rPr>
              <w:t>Lightning Strike</w:t>
            </w:r>
          </w:p>
        </w:tc>
        <w:tc>
          <w:tcPr>
            <w:tcW w:type="dxa" w:w="3969"/>
            <w:shd w:val="clear" w:color="auto" w:fill="2D6A4F"/>
          </w:tcPr>
          <w:p>
            <w:pPr>
              <w:jc w:val="center"/>
            </w:pPr>
            <w:r>
              <w:rPr>
                <w:rFonts w:ascii="Calibri" w:hAnsi="Calibri"/>
                <w:b/>
                <w:color w:val="FFFFFF"/>
                <w:sz w:val="17"/>
              </w:rPr>
              <w:t>Man-Made Electrocution</w:t>
            </w:r>
          </w:p>
        </w:tc>
      </w:tr>
      <w:tr>
        <w:tc>
          <w:tcPr>
            <w:tcW w:type="dxa" w:w="1701"/>
            <w:shd w:val="clear" w:color="auto" w:fill="FFFFFF"/>
          </w:tcPr>
          <w:p>
            <w:r>
              <w:rPr>
                <w:rFonts w:ascii="Calibri" w:hAnsi="Calibri"/>
                <w:b w:val="0"/>
                <w:color w:val="1A1A1A"/>
                <w:sz w:val="17"/>
              </w:rPr>
              <w:t>Skin marks</w:t>
            </w:r>
          </w:p>
        </w:tc>
        <w:tc>
          <w:tcPr>
            <w:tcW w:type="dxa" w:w="3969"/>
            <w:shd w:val="clear" w:color="auto" w:fill="FFFFFF"/>
          </w:tcPr>
          <w:p>
            <w:r>
              <w:rPr>
                <w:rFonts w:ascii="Calibri" w:hAnsi="Calibri"/>
                <w:b w:val="0"/>
                <w:color w:val="1A1A1A"/>
                <w:sz w:val="17"/>
              </w:rPr>
              <w:t>LICHTENBERG FIGURES — arborescent/fern-like pink-red "ferning" (pathognomonic); appear ~1 hr, fade 24–36 hr</w:t>
            </w:r>
          </w:p>
        </w:tc>
        <w:tc>
          <w:tcPr>
            <w:tcW w:type="dxa" w:w="3969"/>
            <w:shd w:val="clear" w:color="auto" w:fill="FFFFFF"/>
          </w:tcPr>
          <w:p>
            <w:r>
              <w:rPr>
                <w:rFonts w:ascii="Calibri" w:hAnsi="Calibri"/>
                <w:b w:val="0"/>
                <w:color w:val="1A1A1A"/>
                <w:sz w:val="17"/>
              </w:rPr>
              <w:t>DISCRETE deep contact/current burns at well-defined entry and exit</w:t>
            </w:r>
          </w:p>
        </w:tc>
      </w:tr>
      <w:tr>
        <w:tc>
          <w:tcPr>
            <w:tcW w:type="dxa" w:w="1701"/>
            <w:shd w:val="clear" w:color="auto" w:fill="EAF7EE"/>
          </w:tcPr>
          <w:p>
            <w:r>
              <w:rPr>
                <w:rFonts w:ascii="Calibri" w:hAnsi="Calibri"/>
                <w:b w:val="0"/>
                <w:color w:val="1A1A1A"/>
                <w:sz w:val="17"/>
              </w:rPr>
              <w:t>Tissue damage</w:t>
            </w:r>
          </w:p>
        </w:tc>
        <w:tc>
          <w:tcPr>
            <w:tcW w:type="dxa" w:w="3969"/>
            <w:shd w:val="clear" w:color="auto" w:fill="EAF7EE"/>
          </w:tcPr>
          <w:p>
            <w:r>
              <w:rPr>
                <w:rFonts w:ascii="Calibri" w:hAnsi="Calibri"/>
                <w:b w:val="0"/>
                <w:color w:val="1A1A1A"/>
                <w:sz w:val="17"/>
              </w:rPr>
              <w:t>Superficial/transient — NOT true burns; minimal histology change</w:t>
            </w:r>
          </w:p>
        </w:tc>
        <w:tc>
          <w:tcPr>
            <w:tcW w:type="dxa" w:w="3969"/>
            <w:shd w:val="clear" w:color="auto" w:fill="EAF7EE"/>
          </w:tcPr>
          <w:p>
            <w:r>
              <w:rPr>
                <w:rFonts w:ascii="Calibri" w:hAnsi="Calibri"/>
                <w:b w:val="0"/>
                <w:color w:val="1A1A1A"/>
                <w:sz w:val="17"/>
              </w:rPr>
              <w:t>Focal DEEP charring; coagulative necrosis; metallization</w:t>
            </w:r>
          </w:p>
        </w:tc>
      </w:tr>
      <w:tr>
        <w:tc>
          <w:tcPr>
            <w:tcW w:type="dxa" w:w="1701"/>
            <w:shd w:val="clear" w:color="auto" w:fill="FFFFFF"/>
          </w:tcPr>
          <w:p>
            <w:r>
              <w:rPr>
                <w:rFonts w:ascii="Calibri" w:hAnsi="Calibri"/>
                <w:b w:val="0"/>
                <w:color w:val="1A1A1A"/>
                <w:sz w:val="17"/>
              </w:rPr>
              <w:t>Number of animals</w:t>
            </w:r>
          </w:p>
        </w:tc>
        <w:tc>
          <w:tcPr>
            <w:tcW w:type="dxa" w:w="3969"/>
            <w:shd w:val="clear" w:color="auto" w:fill="FFFFFF"/>
          </w:tcPr>
          <w:p>
            <w:r>
              <w:rPr>
                <w:rFonts w:ascii="Calibri" w:hAnsi="Calibri"/>
                <w:b w:val="0"/>
                <w:color w:val="1A1A1A"/>
                <w:sz w:val="17"/>
              </w:rPr>
              <w:t>Often MULTIPLE animals down together</w:t>
            </w:r>
          </w:p>
        </w:tc>
        <w:tc>
          <w:tcPr>
            <w:tcW w:type="dxa" w:w="3969"/>
            <w:shd w:val="clear" w:color="auto" w:fill="FFFFFF"/>
          </w:tcPr>
          <w:p>
            <w:r>
              <w:rPr>
                <w:rFonts w:ascii="Calibri" w:hAnsi="Calibri"/>
                <w:b w:val="0"/>
                <w:color w:val="1A1A1A"/>
                <w:sz w:val="17"/>
              </w:rPr>
              <w:t>Usually single animal or a group along a wire line</w:t>
            </w:r>
          </w:p>
        </w:tc>
      </w:tr>
      <w:tr>
        <w:tc>
          <w:tcPr>
            <w:tcW w:type="dxa" w:w="1701"/>
            <w:shd w:val="clear" w:color="auto" w:fill="EAF7EE"/>
          </w:tcPr>
          <w:p>
            <w:r>
              <w:rPr>
                <w:rFonts w:ascii="Calibri" w:hAnsi="Calibri"/>
                <w:b w:val="0"/>
                <w:color w:val="1A1A1A"/>
                <w:sz w:val="17"/>
              </w:rPr>
              <w:t>Scene</w:t>
            </w:r>
          </w:p>
        </w:tc>
        <w:tc>
          <w:tcPr>
            <w:tcW w:type="dxa" w:w="3969"/>
            <w:shd w:val="clear" w:color="auto" w:fill="EAF7EE"/>
          </w:tcPr>
          <w:p>
            <w:r>
              <w:rPr>
                <w:rFonts w:ascii="Calibri" w:hAnsi="Calibri"/>
                <w:b w:val="0"/>
                <w:color w:val="1A1A1A"/>
                <w:sz w:val="17"/>
              </w:rPr>
              <w:t>Open/exposed ground or under tall trees; split tree; storm history; scorched vegetation</w:t>
            </w:r>
          </w:p>
        </w:tc>
        <w:tc>
          <w:tcPr>
            <w:tcW w:type="dxa" w:w="3969"/>
            <w:shd w:val="clear" w:color="auto" w:fill="EAF7EE"/>
          </w:tcPr>
          <w:p>
            <w:r>
              <w:rPr>
                <w:rFonts w:ascii="Calibri" w:hAnsi="Calibri"/>
                <w:b w:val="0"/>
                <w:color w:val="1A1A1A"/>
                <w:sz w:val="17"/>
              </w:rPr>
              <w:t>Proximity to power line, hooked wire, or fence</w:t>
            </w:r>
          </w:p>
        </w:tc>
      </w:tr>
      <w:tr>
        <w:tc>
          <w:tcPr>
            <w:tcW w:type="dxa" w:w="1701"/>
            <w:shd w:val="clear" w:color="auto" w:fill="FFFFFF"/>
          </w:tcPr>
          <w:p>
            <w:r>
              <w:rPr>
                <w:rFonts w:ascii="Calibri" w:hAnsi="Calibri"/>
                <w:b w:val="0"/>
                <w:color w:val="1A1A1A"/>
                <w:sz w:val="17"/>
              </w:rPr>
              <w:t>Entry/exit</w:t>
            </w:r>
          </w:p>
        </w:tc>
        <w:tc>
          <w:tcPr>
            <w:tcW w:type="dxa" w:w="3969"/>
            <w:shd w:val="clear" w:color="auto" w:fill="FFFFFF"/>
          </w:tcPr>
          <w:p>
            <w:r>
              <w:rPr>
                <w:rFonts w:ascii="Calibri" w:hAnsi="Calibri"/>
                <w:b w:val="0"/>
                <w:color w:val="1A1A1A"/>
                <w:sz w:val="17"/>
              </w:rPr>
              <w:t>Poorly defined</w:t>
            </w:r>
          </w:p>
        </w:tc>
        <w:tc>
          <w:tcPr>
            <w:tcW w:type="dxa" w:w="3969"/>
            <w:shd w:val="clear" w:color="auto" w:fill="FFFFFF"/>
          </w:tcPr>
          <w:p>
            <w:r>
              <w:rPr>
                <w:rFonts w:ascii="Calibri" w:hAnsi="Calibri"/>
                <w:b w:val="0"/>
                <w:color w:val="1A1A1A"/>
                <w:sz w:val="17"/>
              </w:rPr>
              <w:t>Well-defined (feet often = exit to ground)</w:t>
            </w:r>
          </w:p>
        </w:tc>
      </w:tr>
    </w:tbl>
    <w:p>
      <w:pPr>
        <w:spacing w:after="40"/>
      </w:pPr>
    </w:p>
    <w:p>
      <w:pPr>
        <w:spacing w:after="40"/>
        <w:ind w:left="283" w:hanging="170"/>
      </w:pPr>
      <w:r>
        <w:rPr>
          <w:rFonts w:ascii="Calibri" w:hAnsi="Calibri"/>
          <w:color w:val="1A1A1A"/>
          <w:sz w:val="19"/>
        </w:rPr>
        <w:t>•  NOTE: Lichtenberg figures are NOT burns — histology shows only subtle superficial dermal capillary dilatation, no deep damage; "magnetisation of nearby metal" is a low-confidence discriminator</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6.6  Legal Framework</w:t>
            </w:r>
          </w:p>
        </w:tc>
      </w:tr>
    </w:tbl>
    <w:p>
      <w:pPr>
        <w:spacing w:after="40"/>
      </w:pPr>
    </w:p>
    <w:p>
      <w:pPr>
        <w:spacing w:after="40"/>
        <w:ind w:left="283" w:hanging="170"/>
      </w:pPr>
      <w:r>
        <w:rPr>
          <w:rFonts w:ascii="Calibri" w:hAnsi="Calibri"/>
          <w:color w:val="1A1A1A"/>
          <w:sz w:val="19"/>
        </w:rPr>
        <w:t>•  WILDLIFE (PROTECTION) ACT 1972: elephant is Schedule I (highest protection); killing prosecuted under Section 51; often filed with IPC 429 and the Electricity Act</w:t>
      </w:r>
    </w:p>
    <w:p>
      <w:pPr>
        <w:spacing w:after="40"/>
        <w:ind w:left="283" w:hanging="170"/>
      </w:pPr>
      <w:r>
        <w:rPr>
          <w:rFonts w:ascii="Calibri" w:hAnsi="Calibri"/>
          <w:color w:val="1A1A1A"/>
          <w:sz w:val="19"/>
        </w:rPr>
        <w:t>•  ELECTRICITY ACT 2003: Section 161 (mandatory accident reporting &amp; inquiry within ~24 hr); Section 135 (theft of electricity — illegal hooking); Section 146 (penalty for non-compliance)</w:t>
      </w:r>
    </w:p>
    <w:p>
      <w:pPr>
        <w:spacing w:after="40"/>
        <w:ind w:left="283" w:hanging="170"/>
      </w:pPr>
      <w:r>
        <w:rPr>
          <w:rFonts w:ascii="Calibri" w:hAnsi="Calibri"/>
          <w:color w:val="1A1A1A"/>
          <w:sz w:val="19"/>
        </w:rPr>
        <w:t>•  STRICT LIABILITY: NGT has held electricity utilities liable for elephant electrocution from their lines (e.g., CESU Odisha ordered to deposit ₹4 crore + maintain lines against sagging)</w:t>
      </w:r>
    </w:p>
    <w:p>
      <w:pPr>
        <w:spacing w:after="40"/>
        <w:ind w:left="283" w:hanging="170"/>
      </w:pPr>
      <w:r>
        <w:rPr>
          <w:rFonts w:ascii="Calibri" w:hAnsi="Calibri"/>
          <w:color w:val="1A1A1A"/>
          <w:sz w:val="19"/>
        </w:rPr>
        <w:t>•  GROUND CLEARANCE: MoEFCC 2010 committee recommended minimum 5.5 m clearance for ≤11 kV lines in vulnerable areas; Karnataka Elephant Task Force: 6.096 m (flat) / 9.144 m (sloping) terrain</w:t>
      </w:r>
    </w:p>
    <w:p>
      <w:pPr>
        <w:spacing w:after="40"/>
        <w:ind w:left="283" w:hanging="170"/>
      </w:pPr>
      <w:r>
        <w:rPr>
          <w:rFonts w:ascii="Calibri" w:hAnsi="Calibri"/>
          <w:color w:val="1A1A1A"/>
          <w:sz w:val="19"/>
        </w:rPr>
        <w:t>•  KARNATAKA HIGH COURT (26 Apr 2025, suo motu after elephant "Ashwathamma"): directed underground cabling in eco-sensitive zones; ban/replace illegal fences; AI/CCTV e-surveillance (Nagarahole pilot → statewide); enforce WPA &amp; Electricity Act</w:t>
      </w:r>
    </w:p>
    <w:tbl>
      <w:tblPr>
        <w:tblStyle w:val="TableGrid"/>
        <w:tblW w:type="auto" w:w="0"/>
        <w:tblLook w:firstColumn="1" w:firstRow="1" w:lastColumn="0" w:lastRow="0" w:noHBand="0" w:noVBand="1" w:val="04A0"/>
      </w:tblPr>
      <w:tblGrid>
        <w:gridCol w:w="9638"/>
      </w:tblGrid>
      <w:tr>
        <w:tc>
          <w:tcPr>
            <w:tcW w:type="dxa" w:w="9638"/>
            <w:shd w:val="clear" w:color="auto" w:fill="FAE0D8"/>
          </w:tcPr>
          <w:p>
            <w:pPr>
              <w:spacing w:before="100" w:after="100"/>
            </w:pPr>
            <w:r>
              <w:rPr>
                <w:rFonts w:ascii="Calibri" w:hAnsi="Calibri"/>
                <w:b/>
                <w:color w:val="8B0000"/>
                <w:sz w:val="18"/>
              </w:rPr>
              <w:t>ELECTROCUTION INVESTIGATION CHECKLIST:</w:t>
              <w:br/>
              <w:t>• Document the SCENE: photograph wires, poles, distance from carcass, sag height (measure!)</w:t>
              <w:br/>
              <w:t>• Locate and photograph ENTRY/EXIT current marks with scale bar; sample skin from burn margin</w:t>
              <w:br/>
              <w:t>• Histology: coagulative necrosis + nuclear streaming; look for metallization at contact point</w:t>
              <w:br/>
              <w:t>• Sample heart, lung (congestion/haemorrhage); document myocardial petechiae</w:t>
              <w:br/>
              <w:t>• RULE OUT lightning: search for Lichtenberg figures, multiple carcasses, storm evidence</w:t>
              <w:br/>
              <w:t>• Coordinate with electricity board / police — electrocution is punishable under WPA 1972 (Sec 51) + Electricity Act (Sec 135/161)</w:t>
              <w:br/>
              <w:t>• PREVENTION: convert illegal AC fences to legal pulsed SOLAR energisers (non-lethal short shock)</w:t>
            </w:r>
          </w:p>
        </w:tc>
      </w:tr>
    </w:tbl>
    <w:p>
      <w:pPr>
        <w:spacing w:after="40"/>
      </w:pPr>
    </w:p>
    <w:p>
      <w:pPr>
        <w:spacing w:before="0" w:after="0"/>
      </w:pPr>
      <w:r>
        <w:br w:type="page"/>
      </w:r>
    </w:p>
    <w:tbl>
      <w:tblPr>
        <w:tblStyle w:val="TableGrid"/>
        <w:tblW w:type="auto" w:w="0"/>
        <w:tblLook w:firstColumn="1" w:firstRow="1" w:lastColumn="0" w:lastRow="0" w:noHBand="0" w:noVBand="1" w:val="04A0"/>
      </w:tblPr>
      <w:tblGrid>
        <w:gridCol w:w="9638"/>
      </w:tblGrid>
      <w:tr>
        <w:tc>
          <w:tcPr>
            <w:tcW w:type="dxa" w:w="9638"/>
            <w:shd w:val="clear" w:color="auto" w:fill="1B4332"/>
          </w:tcPr>
          <w:p>
            <w:pPr>
              <w:spacing w:before="160" w:after="160"/>
            </w:pPr>
            <w:r>
              <w:rPr>
                <w:rFonts w:ascii="Calibri" w:hAnsi="Calibri"/>
                <w:b/>
                <w:color w:val="FFFFFF"/>
                <w:sz w:val="26"/>
              </w:rPr>
              <w:t>7.  Pyometra</w:t>
            </w:r>
          </w:p>
        </w:tc>
      </w:tr>
    </w:tbl>
    <w:p>
      <w:pPr>
        <w:spacing w:after="40"/>
      </w:pPr>
    </w:p>
    <w:p>
      <w:pPr>
        <w:spacing w:before="80" w:after="40"/>
        <w:jc w:val="center"/>
      </w:pPr>
      <w:r>
        <w:drawing>
          <wp:inline xmlns:a="http://schemas.openxmlformats.org/drawingml/2006/main" xmlns:pic="http://schemas.openxmlformats.org/drawingml/2006/picture">
            <wp:extent cx="4680000" cy="6056471"/>
            <wp:docPr id="9" name="Picture 9"/>
            <wp:cNvGraphicFramePr>
              <a:graphicFrameLocks noChangeAspect="1"/>
            </wp:cNvGraphicFramePr>
            <a:graphic>
              <a:graphicData uri="http://schemas.openxmlformats.org/drawingml/2006/picture">
                <pic:pic>
                  <pic:nvPicPr>
                    <pic:cNvPr id="0" name="page_008.png"/>
                    <pic:cNvPicPr/>
                  </pic:nvPicPr>
                  <pic:blipFill>
                    <a:blip r:embed="rId17"/>
                    <a:stretch>
                      <a:fillRect/>
                    </a:stretch>
                  </pic:blipFill>
                  <pic:spPr>
                    <a:xfrm>
                      <a:off x="0" y="0"/>
                      <a:ext cx="4680000" cy="6056471"/>
                    </a:xfrm>
                    <a:prstGeom prst="rect"/>
                  </pic:spPr>
                </pic:pic>
              </a:graphicData>
            </a:graphic>
          </wp:inline>
        </w:drawing>
      </w:r>
    </w:p>
    <w:p>
      <w:pPr>
        <w:spacing w:after="120"/>
        <w:jc w:val="center"/>
      </w:pPr>
      <w:r>
        <w:rPr>
          <w:rFonts w:ascii="Calibri" w:hAnsi="Calibri"/>
          <w:i/>
          <w:color w:val="555555"/>
          <w:sz w:val="16"/>
        </w:rPr>
        <w:t>Slide 8 — Pyometra in Asian elephants (clinical photograph; purulent vaginal discharge)</w:t>
      </w:r>
    </w:p>
    <w:p>
      <w:pPr>
        <w:spacing w:before="80" w:after="40"/>
        <w:jc w:val="center"/>
      </w:pPr>
      <w:r>
        <w:drawing>
          <wp:inline xmlns:a="http://schemas.openxmlformats.org/drawingml/2006/main" xmlns:pic="http://schemas.openxmlformats.org/drawingml/2006/picture">
            <wp:extent cx="4680000" cy="6056471"/>
            <wp:docPr id="10" name="Picture 10"/>
            <wp:cNvGraphicFramePr>
              <a:graphicFrameLocks noChangeAspect="1"/>
            </wp:cNvGraphicFramePr>
            <a:graphic>
              <a:graphicData uri="http://schemas.openxmlformats.org/drawingml/2006/picture">
                <pic:pic>
                  <pic:nvPicPr>
                    <pic:cNvPr id="0" name="page_010.png"/>
                    <pic:cNvPicPr/>
                  </pic:nvPicPr>
                  <pic:blipFill>
                    <a:blip r:embed="rId18"/>
                    <a:stretch>
                      <a:fillRect/>
                    </a:stretch>
                  </pic:blipFill>
                  <pic:spPr>
                    <a:xfrm>
                      <a:off x="0" y="0"/>
                      <a:ext cx="4680000" cy="6056471"/>
                    </a:xfrm>
                    <a:prstGeom prst="rect"/>
                  </pic:spPr>
                </pic:pic>
              </a:graphicData>
            </a:graphic>
          </wp:inline>
        </w:drawing>
      </w:r>
    </w:p>
    <w:p>
      <w:pPr>
        <w:spacing w:after="120"/>
        <w:jc w:val="center"/>
      </w:pPr>
      <w:r>
        <w:rPr>
          <w:rFonts w:ascii="Calibri" w:hAnsi="Calibri"/>
          <w:i/>
          <w:color w:val="555555"/>
          <w:sz w:val="16"/>
        </w:rPr>
        <w:t>Slide 10 — Vaginal vestibulotomy in Asian elephant: surgical management of pyometra</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7.1  Definition</w:t>
            </w:r>
          </w:p>
        </w:tc>
      </w:tr>
    </w:tbl>
    <w:p>
      <w:pPr>
        <w:spacing w:after="40"/>
      </w:pPr>
    </w:p>
    <w:p>
      <w:pPr>
        <w:spacing w:after="80"/>
        <w:jc w:val="both"/>
      </w:pPr>
      <w:r>
        <w:rPr>
          <w:rFonts w:ascii="Calibri" w:hAnsi="Calibri"/>
          <w:b w:val="0"/>
          <w:i w:val="0"/>
          <w:color w:val="1A1A1A"/>
          <w:sz w:val="19"/>
        </w:rPr>
        <w:t>Pyometra is a severe, life-threatening uterine infection characterised by the accumulation of PUS and severe inflammation in the uterus. It is most common in AGING, NULLIPAROUS (having never given birth) female elephants, and is often linked to prolonged hormonal fluctuations and underlying reproductive issues.</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7.2  CEH–Pyometra Complex &amp; Pathophysiology</w:t>
            </w:r>
          </w:p>
        </w:tc>
      </w:tr>
    </w:tbl>
    <w:p>
      <w:pPr>
        <w:spacing w:after="40"/>
      </w:pPr>
    </w:p>
    <w:p>
      <w:pPr>
        <w:spacing w:after="40"/>
        <w:ind w:left="283" w:hanging="170"/>
      </w:pPr>
      <w:r>
        <w:rPr>
          <w:rFonts w:ascii="Calibri" w:hAnsi="Calibri"/>
          <w:color w:val="1A1A1A"/>
          <w:sz w:val="19"/>
        </w:rPr>
        <w:t>•  CYSTIC ENDOMETRIAL HYPERPLASIA (CEH) is the principal precursor lesion — present in ~67% of captive Asian elephants (vs 15% African) aged 26–57 yrs (Agnew, Munson &amp; Ramsay, Vet Pathol 2004)</w:t>
      </w:r>
    </w:p>
    <w:p>
      <w:pPr>
        <w:spacing w:after="40"/>
        <w:ind w:left="283" w:hanging="170"/>
      </w:pPr>
      <w:r>
        <w:rPr>
          <w:rFonts w:ascii="Calibri" w:hAnsi="Calibri"/>
          <w:color w:val="1A1A1A"/>
          <w:sz w:val="19"/>
        </w:rPr>
        <w:t>•  CEH-pyometra complex (canine model): chronic progesterone (luteal) dominance → endometrial gland proliferation + cystic dilation → reduced uterine defence → fluid accumulation → bacterial colonisation → pyometra</w:t>
      </w:r>
    </w:p>
    <w:p>
      <w:pPr>
        <w:spacing w:after="40"/>
        <w:ind w:left="283" w:hanging="170"/>
      </w:pPr>
      <w:r>
        <w:rPr>
          <w:rFonts w:ascii="Calibri" w:hAnsi="Calibri"/>
          <w:color w:val="1A1A1A"/>
          <w:sz w:val="19"/>
        </w:rPr>
        <w:t>•  HORMONAL: CEH is "associated with prolonged phases of both estrogen and progesterone influence"; the long luteal phase (~6–12 weeks) maximises endometrial stimulation</w:t>
      </w:r>
    </w:p>
    <w:p>
      <w:pPr>
        <w:spacing w:after="40"/>
        <w:ind w:left="283" w:hanging="170"/>
      </w:pPr>
      <w:r>
        <w:rPr>
          <w:rFonts w:ascii="Calibri" w:hAnsi="Calibri"/>
          <w:color w:val="1A1A1A"/>
          <w:sz w:val="19"/>
        </w:rPr>
        <w:t>•  BACTERIAL: Escherichia coli (predominant), Streptococcus, Staphylococcus, Klebsiella, Proteus, Pseudomonas, Bacteroides — pure or mixed (largely extrapolated; elephant-specific culture series are sparse)</w:t>
      </w:r>
    </w:p>
    <w:p>
      <w:pPr>
        <w:spacing w:after="40"/>
        <w:ind w:left="283" w:hanging="170"/>
      </w:pPr>
      <w:r>
        <w:rPr>
          <w:rFonts w:ascii="Calibri" w:hAnsi="Calibri"/>
          <w:color w:val="1A1A1A"/>
          <w:sz w:val="19"/>
        </w:rPr>
        <w:t>•  CO-PATHOLOGY: Uterine LEIOMYOMAS are the most common reproductive tumour — more prevalent/larger in older nulliparous Asian elephants (reported 30–100%; one series 90% of neoplasia cases); ~13% uterine adenocarcinoma</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7.3  Why Nulliparous Captive Females Are Predisposed</w:t>
            </w:r>
          </w:p>
        </w:tc>
      </w:tr>
    </w:tbl>
    <w:p>
      <w:pPr>
        <w:spacing w:after="40"/>
      </w:pPr>
    </w:p>
    <w:p>
      <w:pPr>
        <w:spacing w:after="40"/>
        <w:ind w:left="283" w:hanging="170"/>
      </w:pPr>
      <w:r>
        <w:rPr>
          <w:rFonts w:ascii="Calibri" w:hAnsi="Calibri"/>
          <w:color w:val="1A1A1A"/>
          <w:sz w:val="19"/>
        </w:rPr>
        <w:t>•  ASYMMETRIC REPRODUCTIVE AGING (Hermes, Hildebrandt &amp; Göritz 2004): prolonged non-reproductive periods + continuous endogenous steroid exposure → genital pathology, reduced fertility, eventual irreversible acyclicity (males not similarly affected)</w:t>
      </w:r>
    </w:p>
    <w:p>
      <w:pPr>
        <w:spacing w:after="40"/>
        <w:ind w:left="283" w:hanging="170"/>
      </w:pPr>
      <w:r>
        <w:rPr>
          <w:rFonts w:ascii="Calibri" w:hAnsi="Calibri"/>
          <w:color w:val="1A1A1A"/>
          <w:sz w:val="19"/>
        </w:rPr>
        <w:t>•  Repeated unbroken oestrous cycling (no pregnancy/lactation "rest") → cumulative unopposed progesterone/estrogen on the endometrium → CEH substrate</w:t>
      </w:r>
    </w:p>
    <w:p>
      <w:pPr>
        <w:spacing w:after="40"/>
        <w:ind w:left="283" w:hanging="170"/>
      </w:pPr>
      <w:r>
        <w:rPr>
          <w:rFonts w:ascii="Calibri" w:hAnsi="Calibri"/>
          <w:color w:val="1A1A1A"/>
          <w:sz w:val="19"/>
        </w:rPr>
        <w:t>•  Up to 14% of captive Asian (29% African) elephants are acyclic or cycle irregularly — a marker of this reproductive-health decline</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7.4  Reproductive-Tract Anatomy — Why Drainage Is Hard</w:t>
            </w:r>
          </w:p>
        </w:tc>
      </w:tr>
    </w:tbl>
    <w:p>
      <w:pPr>
        <w:spacing w:after="40"/>
      </w:pPr>
    </w:p>
    <w:p>
      <w:pPr>
        <w:spacing w:after="40"/>
        <w:ind w:left="283" w:hanging="170"/>
      </w:pPr>
      <w:r>
        <w:rPr>
          <w:rFonts w:ascii="Calibri" w:hAnsi="Calibri"/>
          <w:color w:val="1A1A1A"/>
          <w:sz w:val="19"/>
        </w:rPr>
        <w:t>•  The elephant has an EXCEPTIONALLY LONG vestibule (urogenital canal), ~1.0–1.4 m, opening between the hind legs</w:t>
      </w:r>
    </w:p>
    <w:p>
      <w:pPr>
        <w:spacing w:after="40"/>
        <w:ind w:left="283" w:hanging="170"/>
      </w:pPr>
      <w:r>
        <w:rPr>
          <w:rFonts w:ascii="Calibri" w:hAnsi="Calibri"/>
          <w:color w:val="1A1A1A"/>
          <w:sz w:val="19"/>
        </w:rPr>
        <w:t>•  A membranous HYMENAL constriction (orifice &lt;2 cm) separates urogenital canal from vagina in nulliparous animals</w:t>
      </w:r>
    </w:p>
    <w:p>
      <w:pPr>
        <w:spacing w:after="40"/>
        <w:ind w:left="283" w:hanging="170"/>
      </w:pPr>
      <w:r>
        <w:rPr>
          <w:rFonts w:ascii="Calibri" w:hAnsi="Calibri"/>
          <w:color w:val="1A1A1A"/>
          <w:sz w:val="19"/>
        </w:rPr>
        <w:t>•  Total tract length (vulva-to-ovary) ranges 120–358 cm — this long, narrow, valved canal IMPEDES natural drainage and makes transcervical access very difficult, favouring closed-type pus accumulation</w:t>
      </w:r>
    </w:p>
    <w:p>
      <w:pPr>
        <w:spacing w:after="40"/>
        <w:ind w:left="283" w:hanging="170"/>
      </w:pPr>
      <w:r>
        <w:rPr>
          <w:rFonts w:ascii="Calibri" w:hAnsi="Calibri"/>
          <w:color w:val="1A1A1A"/>
          <w:sz w:val="19"/>
        </w:rPr>
        <w:t>•  ULTRASONOGRAPHY is the key diagnostic tool for endometrial cysts, CEH, leiomyoma, and intrauterine fluid/pyometra</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7.5  Treatment</w:t>
            </w:r>
          </w:p>
        </w:tc>
      </w:tr>
    </w:tbl>
    <w:p>
      <w:pPr>
        <w:spacing w:after="40"/>
      </w:pPr>
    </w:p>
    <w:tbl>
      <w:tblPr>
        <w:tblStyle w:val="TableGrid"/>
        <w:tblW w:type="auto" w:w="0"/>
        <w:tblLook w:firstColumn="1" w:firstRow="1" w:lastColumn="0" w:lastRow="0" w:noHBand="0" w:noVBand="1" w:val="04A0"/>
      </w:tblPr>
      <w:tblGrid>
        <w:gridCol w:w="4819"/>
        <w:gridCol w:w="4819"/>
      </w:tblGrid>
      <w:tr>
        <w:tc>
          <w:tcPr>
            <w:tcW w:type="dxa" w:w="2551"/>
            <w:shd w:val="clear" w:color="auto" w:fill="2D6A4F"/>
          </w:tcPr>
          <w:p>
            <w:pPr>
              <w:jc w:val="center"/>
            </w:pPr>
            <w:r>
              <w:rPr>
                <w:rFonts w:ascii="Calibri" w:hAnsi="Calibri"/>
                <w:b/>
                <w:color w:val="FFFFFF"/>
                <w:sz w:val="17"/>
              </w:rPr>
              <w:t>Approach</w:t>
            </w:r>
          </w:p>
        </w:tc>
        <w:tc>
          <w:tcPr>
            <w:tcW w:type="dxa" w:w="7087"/>
            <w:shd w:val="clear" w:color="auto" w:fill="2D6A4F"/>
          </w:tcPr>
          <w:p>
            <w:pPr>
              <w:jc w:val="center"/>
            </w:pPr>
            <w:r>
              <w:rPr>
                <w:rFonts w:ascii="Calibri" w:hAnsi="Calibri"/>
                <w:b/>
                <w:color w:val="FFFFFF"/>
                <w:sz w:val="17"/>
              </w:rPr>
              <w:t>Detail</w:t>
            </w:r>
          </w:p>
        </w:tc>
      </w:tr>
      <w:tr>
        <w:tc>
          <w:tcPr>
            <w:tcW w:type="dxa" w:w="2551"/>
            <w:shd w:val="clear" w:color="auto" w:fill="FFFFFF"/>
          </w:tcPr>
          <w:p>
            <w:r>
              <w:rPr>
                <w:rFonts w:ascii="Calibri" w:hAnsi="Calibri"/>
                <w:b w:val="0"/>
                <w:color w:val="1A1A1A"/>
                <w:sz w:val="17"/>
              </w:rPr>
              <w:t>i. Hormonal Downregulation</w:t>
            </w:r>
          </w:p>
        </w:tc>
        <w:tc>
          <w:tcPr>
            <w:tcW w:type="dxa" w:w="7087"/>
            <w:shd w:val="clear" w:color="auto" w:fill="FFFFFF"/>
          </w:tcPr>
          <w:p>
            <w:r>
              <w:rPr>
                <w:rFonts w:ascii="Calibri" w:hAnsi="Calibri"/>
                <w:b w:val="0"/>
                <w:color w:val="1A1A1A"/>
                <w:sz w:val="17"/>
              </w:rPr>
              <w:t>GnRH vaccine (Improvac-type) → anti-GnRH antibodies block GnRH → ↓LH/FSH → suppress cyclicity &amp; remove progesterone drive. Also Deslorelin (GnRH agonist) implants → pituitary down-regulation. EAZA: treat pyometra BEFORE GnRH vaccination</w:t>
            </w:r>
          </w:p>
        </w:tc>
      </w:tr>
      <w:tr>
        <w:tc>
          <w:tcPr>
            <w:tcW w:type="dxa" w:w="2551"/>
            <w:shd w:val="clear" w:color="auto" w:fill="EAF7EE"/>
          </w:tcPr>
          <w:p>
            <w:r>
              <w:rPr>
                <w:rFonts w:ascii="Calibri" w:hAnsi="Calibri"/>
                <w:b w:val="0"/>
                <w:color w:val="1A1A1A"/>
                <w:sz w:val="17"/>
              </w:rPr>
              <w:t>ii. Aggressive Antibiotic Therapy</w:t>
            </w:r>
          </w:p>
        </w:tc>
        <w:tc>
          <w:tcPr>
            <w:tcW w:type="dxa" w:w="7087"/>
            <w:shd w:val="clear" w:color="auto" w:fill="EAF7EE"/>
          </w:tcPr>
          <w:p>
            <w:r>
              <w:rPr>
                <w:rFonts w:ascii="Calibri" w:hAnsi="Calibri"/>
                <w:b w:val="0"/>
                <w:color w:val="1A1A1A"/>
                <w:sz w:val="17"/>
              </w:rPr>
              <w:t>Broad-spectrum systemic antibiotics, ideally culture-guided</w:t>
            </w:r>
          </w:p>
        </w:tc>
      </w:tr>
      <w:tr>
        <w:tc>
          <w:tcPr>
            <w:tcW w:type="dxa" w:w="2551"/>
            <w:shd w:val="clear" w:color="auto" w:fill="FFFFFF"/>
          </w:tcPr>
          <w:p>
            <w:r>
              <w:rPr>
                <w:rFonts w:ascii="Calibri" w:hAnsi="Calibri"/>
                <w:b w:val="0"/>
                <w:color w:val="1A1A1A"/>
                <w:sz w:val="17"/>
              </w:rPr>
              <w:t>iii. Uterine / Transcervical Lavage</w:t>
            </w:r>
          </w:p>
        </w:tc>
        <w:tc>
          <w:tcPr>
            <w:tcW w:type="dxa" w:w="7087"/>
            <w:shd w:val="clear" w:color="auto" w:fill="FFFFFF"/>
          </w:tcPr>
          <w:p>
            <w:r>
              <w:rPr>
                <w:rFonts w:ascii="Calibri" w:hAnsi="Calibri"/>
                <w:b w:val="0"/>
                <w:color w:val="1A1A1A"/>
                <w:sz w:val="17"/>
              </w:rPr>
              <w:t>Flushing the uterus with warm sterile saline to evacuate pus — constrained by the long urogenital canal/hymen</w:t>
            </w:r>
          </w:p>
        </w:tc>
      </w:tr>
      <w:tr>
        <w:tc>
          <w:tcPr>
            <w:tcW w:type="dxa" w:w="2551"/>
            <w:shd w:val="clear" w:color="auto" w:fill="EAF7EE"/>
          </w:tcPr>
          <w:p>
            <w:r>
              <w:rPr>
                <w:rFonts w:ascii="Calibri" w:hAnsi="Calibri"/>
                <w:b w:val="0"/>
                <w:color w:val="1A1A1A"/>
                <w:sz w:val="17"/>
              </w:rPr>
              <w:t>iv. Prostaglandins (PGF2α)</w:t>
            </w:r>
          </w:p>
        </w:tc>
        <w:tc>
          <w:tcPr>
            <w:tcW w:type="dxa" w:w="7087"/>
            <w:shd w:val="clear" w:color="auto" w:fill="EAF7EE"/>
          </w:tcPr>
          <w:p>
            <w:r>
              <w:rPr>
                <w:rFonts w:ascii="Calibri" w:hAnsi="Calibri"/>
                <w:b w:val="0"/>
                <w:color w:val="1A1A1A"/>
                <w:sz w:val="17"/>
              </w:rPr>
              <w:t>Promote myometrial contraction &amp; cervical relaxation to expel contents (minimally documented in elephants)</w:t>
            </w:r>
          </w:p>
        </w:tc>
      </w:tr>
      <w:tr>
        <w:tc>
          <w:tcPr>
            <w:tcW w:type="dxa" w:w="2551"/>
            <w:shd w:val="clear" w:color="auto" w:fill="FFFFFF"/>
          </w:tcPr>
          <w:p>
            <w:r>
              <w:rPr>
                <w:rFonts w:ascii="Calibri" w:hAnsi="Calibri"/>
                <w:b w:val="0"/>
                <w:color w:val="1A1A1A"/>
                <w:sz w:val="17"/>
              </w:rPr>
              <w:t>v. Surgical Drainage</w:t>
            </w:r>
          </w:p>
        </w:tc>
        <w:tc>
          <w:tcPr>
            <w:tcW w:type="dxa" w:w="7087"/>
            <w:shd w:val="clear" w:color="auto" w:fill="FFFFFF"/>
          </w:tcPr>
          <w:p>
            <w:r>
              <w:rPr>
                <w:rFonts w:ascii="Calibri" w:hAnsi="Calibri"/>
                <w:b w:val="0"/>
                <w:color w:val="1A1A1A"/>
                <w:sz w:val="17"/>
              </w:rPr>
              <w:t>Vaginal vestibulotomy — surgical access through the long urogenital canal for lavage/drainage (slide 10)</w:t>
            </w:r>
          </w:p>
        </w:tc>
      </w:tr>
      <w:tr>
        <w:tc>
          <w:tcPr>
            <w:tcW w:type="dxa" w:w="2551"/>
            <w:shd w:val="clear" w:color="auto" w:fill="EAF7EE"/>
          </w:tcPr>
          <w:p>
            <w:r>
              <w:rPr>
                <w:rFonts w:ascii="Calibri" w:hAnsi="Calibri"/>
                <w:b w:val="0"/>
                <w:color w:val="1A1A1A"/>
                <w:sz w:val="17"/>
              </w:rPr>
              <w:t>vi. Homeopathic (practised)</w:t>
            </w:r>
          </w:p>
        </w:tc>
        <w:tc>
          <w:tcPr>
            <w:tcW w:type="dxa" w:w="7087"/>
            <w:shd w:val="clear" w:color="auto" w:fill="EAF7EE"/>
          </w:tcPr>
          <w:p>
            <w:r>
              <w:rPr>
                <w:rFonts w:ascii="Calibri" w:hAnsi="Calibri"/>
                <w:b w:val="0"/>
                <w:color w:val="1A1A1A"/>
                <w:sz w:val="17"/>
              </w:rPr>
              <w:t>Pyrogenium 1000 + Hepar sulph 1000 + Secale 1000 (documented by Dr. Shrivastava)</w:t>
            </w:r>
          </w:p>
        </w:tc>
      </w:tr>
    </w:tbl>
    <w:p>
      <w:pPr>
        <w:spacing w:after="40"/>
      </w:pPr>
    </w:p>
    <w:p>
      <w:pPr>
        <w:spacing w:after="40"/>
        <w:ind w:left="283" w:hanging="170"/>
      </w:pPr>
      <w:r>
        <w:rPr>
          <w:rFonts w:ascii="Calibri" w:hAnsi="Calibri"/>
          <w:color w:val="1A1A1A"/>
          <w:sz w:val="19"/>
        </w:rPr>
        <w:t>•  OVARIOHYSTERECTOMY is NOT practical in adult elephants — body size, vascularity, and extreme tract length (up to 358 cm) make it unfeasible; management is conservative/palliative</w:t>
      </w:r>
    </w:p>
    <w:p>
      <w:pPr>
        <w:spacing w:after="40"/>
        <w:ind w:left="283" w:hanging="170"/>
      </w:pPr>
      <w:r>
        <w:rPr>
          <w:rFonts w:ascii="Calibri" w:hAnsi="Calibri"/>
          <w:color w:val="1A1A1A"/>
          <w:sz w:val="19"/>
        </w:rPr>
        <w:t>•  PROGNOSIS: guarded to poor. Documented cases (deslorelin + antibiotics) showed short-term improvement but the animals later died (necropsy: enlarged uterus, leiomyoma). Advanced closed-cervix pyometra → uterine distension, rupture, peritonitis, sepsis, death</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7.6  Luteal-Phase Caution &amp; Prevention</w:t>
            </w:r>
          </w:p>
        </w:tc>
      </w:tr>
    </w:tbl>
    <w:p>
      <w:pPr>
        <w:spacing w:after="40"/>
      </w:pPr>
    </w:p>
    <w:p>
      <w:pPr>
        <w:spacing w:after="40"/>
        <w:ind w:left="283" w:hanging="170"/>
      </w:pPr>
      <w:r>
        <w:rPr>
          <w:rFonts w:ascii="Calibri" w:hAnsi="Calibri"/>
          <w:color w:val="1A1A1A"/>
          <w:sz w:val="19"/>
        </w:rPr>
        <w:t>•  Elephant cycle: luteal (high-progesterone) phase ~6–12 weeks, follicular ~4–6 weeks; extended low-progesterone (&gt;12 weeks) = acyclicity/"flatlining"</w:t>
      </w:r>
    </w:p>
    <w:p>
      <w:pPr>
        <w:spacing w:after="40"/>
        <w:ind w:left="283" w:hanging="170"/>
      </w:pPr>
      <w:r>
        <w:rPr>
          <w:rFonts w:ascii="Calibri" w:hAnsi="Calibri"/>
          <w:color w:val="1A1A1A"/>
          <w:sz w:val="19"/>
        </w:rPr>
        <w:t>•  Avoid GnRH-agonist implantation during the luteal (diestrus) phase — high progesterone increases pyometra risk</w:t>
      </w:r>
    </w:p>
    <w:tbl>
      <w:tblPr>
        <w:tblStyle w:val="TableGrid"/>
        <w:tblW w:type="auto" w:w="0"/>
        <w:tblLook w:firstColumn="1" w:firstRow="1" w:lastColumn="0" w:lastRow="0" w:noHBand="0" w:noVBand="1" w:val="04A0"/>
      </w:tblPr>
      <w:tblGrid>
        <w:gridCol w:w="9638"/>
      </w:tblGrid>
      <w:tr>
        <w:tc>
          <w:tcPr>
            <w:tcW w:type="dxa" w:w="9638"/>
            <w:shd w:val="clear" w:color="auto" w:fill="D8F3DC"/>
          </w:tcPr>
          <w:p>
            <w:pPr>
              <w:spacing w:before="100" w:after="100"/>
            </w:pPr>
            <w:r>
              <w:rPr>
                <w:rFonts w:ascii="Calibri" w:hAnsi="Calibri"/>
                <w:b/>
                <w:color w:val="1B4332"/>
                <w:sz w:val="18"/>
              </w:rPr>
              <w:t>CLINICAL NOTE: Pyometra is a reproductive EMERGENCY in elephants. Toxins from the infected uterus (endotoxaemia) can cause septic shock and death. The long valved urogenital canal favours CLOSED-type pus accumulation and impairs drainage — raising mortality. In captive females, prevention centres on managed breeding or hormonal cycle suppression to break the CEH → pyometra cascade. Vaginal vestibulotomy provides surgical drainage when medical management fails; ovariohysterectomy is not feasible.</w:t>
            </w:r>
          </w:p>
        </w:tc>
      </w:tr>
    </w:tbl>
    <w:p>
      <w:pPr>
        <w:spacing w:after="40"/>
      </w:pPr>
    </w:p>
    <w:p>
      <w:pPr>
        <w:spacing w:before="0" w:after="0"/>
      </w:pPr>
      <w:r>
        <w:br w:type="page"/>
      </w:r>
    </w:p>
    <w:tbl>
      <w:tblPr>
        <w:tblStyle w:val="TableGrid"/>
        <w:tblW w:type="auto" w:w="0"/>
        <w:tblLook w:firstColumn="1" w:firstRow="1" w:lastColumn="0" w:lastRow="0" w:noHBand="0" w:noVBand="1" w:val="04A0"/>
      </w:tblPr>
      <w:tblGrid>
        <w:gridCol w:w="9638"/>
      </w:tblGrid>
      <w:tr>
        <w:tc>
          <w:tcPr>
            <w:tcW w:type="dxa" w:w="9638"/>
            <w:shd w:val="clear" w:color="auto" w:fill="1B4332"/>
          </w:tcPr>
          <w:p>
            <w:pPr>
              <w:spacing w:before="160" w:after="160"/>
            </w:pPr>
            <w:r>
              <w:rPr>
                <w:rFonts w:ascii="Calibri" w:hAnsi="Calibri"/>
                <w:b/>
                <w:color w:val="FFFFFF"/>
                <w:sz w:val="26"/>
              </w:rPr>
              <w:t>8.  Hyperthermia &amp; Heat Stress</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8.1  Definition</w:t>
            </w:r>
          </w:p>
        </w:tc>
      </w:tr>
    </w:tbl>
    <w:p>
      <w:pPr>
        <w:spacing w:after="40"/>
      </w:pPr>
    </w:p>
    <w:p>
      <w:pPr>
        <w:spacing w:after="80"/>
        <w:jc w:val="both"/>
      </w:pPr>
      <w:r>
        <w:rPr>
          <w:rFonts w:ascii="Calibri" w:hAnsi="Calibri"/>
          <w:b w:val="0"/>
          <w:i w:val="0"/>
          <w:color w:val="1A1A1A"/>
          <w:sz w:val="19"/>
        </w:rPr>
        <w:t>Hyperthermia is a life-threatening condition caused by high environmental temperature, a lack of access to water or shade, massive body size, and lack of sweat glands. It is a serious welfare and mortality concern for both working/captive and free-ranging elephants during Indian summers.</w:t>
      </w:r>
    </w:p>
    <w:p>
      <w:pPr>
        <w:spacing w:after="80"/>
        <w:jc w:val="both"/>
      </w:pPr>
      <w:r>
        <w:rPr>
          <w:rFonts w:ascii="Calibri" w:hAnsi="Calibri"/>
          <w:b w:val="0"/>
          <w:i w:val="0"/>
          <w:color w:val="1A1A1A"/>
          <w:sz w:val="19"/>
        </w:rPr>
        <w:t>Normal elephant core body temperature is comparatively LOW (~36.2 ± 0.5°C; working range ≈ 35.9–37°C) and they do NOT pant or sweat conventionally — making heat dissipation, not heat generation, the physiological challenge.</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8.2  Why Elephants Are Prone to Overheating</w:t>
            </w:r>
          </w:p>
        </w:tc>
      </w:tr>
    </w:tbl>
    <w:p>
      <w:pPr>
        <w:spacing w:after="40"/>
      </w:pPr>
    </w:p>
    <w:p>
      <w:pPr>
        <w:spacing w:after="40"/>
        <w:ind w:left="283" w:hanging="170"/>
      </w:pPr>
      <w:r>
        <w:rPr>
          <w:rFonts w:ascii="Calibri" w:hAnsi="Calibri"/>
          <w:color w:val="1A1A1A"/>
          <w:sz w:val="19"/>
        </w:rPr>
        <w:t>•  THE SQUARE-CUBE LAW: surface area scales as the square while volume/mass scales as the cube — so giants have proportionally little skin to dump metabolic heat. Heat dissipation problems set in above ~35°C ambient</w:t>
      </w:r>
    </w:p>
    <w:p>
      <w:pPr>
        <w:spacing w:after="40"/>
        <w:ind w:left="283" w:hanging="170"/>
      </w:pPr>
      <w:r>
        <w:rPr>
          <w:rFonts w:ascii="Calibri" w:hAnsi="Calibri"/>
          <w:color w:val="1A1A1A"/>
          <w:sz w:val="19"/>
        </w:rPr>
        <w:t>•  COMPENSATION: elephants' thermal conductance is 3–5× higher than predicted allometrically, attributed to their lack of fur (offsets the low surface-area:volume disadvantage)</w:t>
      </w:r>
    </w:p>
    <w:p>
      <w:pPr>
        <w:spacing w:after="40"/>
        <w:ind w:left="283" w:hanging="170"/>
      </w:pPr>
      <w:r>
        <w:rPr>
          <w:rFonts w:ascii="Calibri" w:hAnsi="Calibri"/>
          <w:color w:val="1A1A1A"/>
          <w:sz w:val="19"/>
        </w:rPr>
        <w:t>•  HEAT STORAGE: during exercise in full sun (8–34.5°C ambient), 56–100% of active metabolic heat is STORED in core tissues and dumped later (often at night) — elephants "ride out" heat</w:t>
      </w:r>
    </w:p>
    <w:p>
      <w:pPr>
        <w:spacing w:after="40"/>
        <w:ind w:left="283" w:hanging="170"/>
      </w:pPr>
      <w:r>
        <w:rPr>
          <w:rFonts w:ascii="Calibri" w:hAnsi="Calibri"/>
          <w:color w:val="1A1A1A"/>
          <w:sz w:val="19"/>
        </w:rPr>
        <w:t>•  METABOLIC HEAT: continuous walking in hot sun without rest/water generates heat faster than it can be lost; modelling suggests arterial blood can rise ~5°C to potentially lethal levels after ~15 min locomotion at 26°C ambient</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8.2b  The Sweat-Gland Question — Precise Science</w:t>
            </w:r>
          </w:p>
        </w:tc>
      </w:tr>
    </w:tbl>
    <w:p>
      <w:pPr>
        <w:spacing w:after="40"/>
      </w:pPr>
    </w:p>
    <w:p>
      <w:pPr>
        <w:spacing w:after="40"/>
        <w:ind w:left="283" w:hanging="170"/>
      </w:pPr>
      <w:r>
        <w:rPr>
          <w:rFonts w:ascii="Calibri" w:hAnsi="Calibri"/>
          <w:color w:val="1A1A1A"/>
          <w:sz w:val="19"/>
        </w:rPr>
        <w:t>•  The claim "elephants have no sweat glands" is an OVERSIMPLIFICATION — they lack dense, body-wide conventional sweat glands, but specialised glands and high cutaneous water loss DO exist</w:t>
      </w:r>
    </w:p>
    <w:p>
      <w:pPr>
        <w:spacing w:after="40"/>
        <w:ind w:left="283" w:hanging="170"/>
      </w:pPr>
      <w:r>
        <w:rPr>
          <w:rFonts w:ascii="Calibri" w:hAnsi="Calibri"/>
          <w:color w:val="1A1A1A"/>
          <w:sz w:val="19"/>
        </w:rPr>
        <w:t>•  INTERDIGITAL GLANDS resembling human eccrine sweat glands occur between the toes/toenail cuticles of the Asian elephant — true sweat-gland tissue, but restricted to the feet (minimal thermoregulatory role)</w:t>
      </w:r>
    </w:p>
    <w:p>
      <w:pPr>
        <w:spacing w:after="40"/>
        <w:ind w:left="283" w:hanging="170"/>
      </w:pPr>
      <w:r>
        <w:rPr>
          <w:rFonts w:ascii="Calibri" w:hAnsi="Calibri"/>
          <w:color w:val="1A1A1A"/>
          <w:sz w:val="19"/>
        </w:rPr>
        <w:t>•  Elephants show very high CUTANEOUS EVAPORATIVE WATER LOSS (CEWL): 0.31–8.9 g·min⁻¹·m⁻² (Asian) — water diffuses through the bare skin itself, not via glands (Dunkin et al. 2013)</w:t>
      </w:r>
    </w:p>
    <w:p>
      <w:pPr>
        <w:spacing w:after="40"/>
        <w:ind w:left="283" w:hanging="170"/>
      </w:pPr>
      <w:r>
        <w:rPr>
          <w:rFonts w:ascii="Calibri" w:hAnsi="Calibri"/>
          <w:color w:val="1A1A1A"/>
          <w:sz w:val="19"/>
        </w:rPr>
        <w:t>•  SKIN MICRO-CRACKS: African elephant skin fractures into millions of true micro-channels that retain 5–10× more water/mud than a flat surface, prolonging evaporative cooling (Martins et al. 2018, Nature Comms)</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8.3  Natural Cooling Mechanisms</w:t>
            </w:r>
          </w:p>
        </w:tc>
      </w:tr>
    </w:tbl>
    <w:p>
      <w:pPr>
        <w:spacing w:after="40"/>
      </w:pPr>
    </w:p>
    <w:tbl>
      <w:tblPr>
        <w:tblStyle w:val="TableGrid"/>
        <w:tblW w:type="auto" w:w="0"/>
        <w:tblLook w:firstColumn="1" w:firstRow="1" w:lastColumn="0" w:lastRow="0" w:noHBand="0" w:noVBand="1" w:val="04A0"/>
      </w:tblPr>
      <w:tblGrid>
        <w:gridCol w:w="4819"/>
        <w:gridCol w:w="4819"/>
      </w:tblGrid>
      <w:tr>
        <w:tc>
          <w:tcPr>
            <w:tcW w:type="dxa" w:w="2268"/>
            <w:shd w:val="clear" w:color="auto" w:fill="2D6A4F"/>
          </w:tcPr>
          <w:p>
            <w:pPr>
              <w:jc w:val="center"/>
            </w:pPr>
            <w:r>
              <w:rPr>
                <w:rFonts w:ascii="Calibri" w:hAnsi="Calibri"/>
                <w:b/>
                <w:color w:val="FFFFFF"/>
                <w:sz w:val="17"/>
              </w:rPr>
              <w:t>Mechanism</w:t>
            </w:r>
          </w:p>
        </w:tc>
        <w:tc>
          <w:tcPr>
            <w:tcW w:type="dxa" w:w="7370"/>
            <w:shd w:val="clear" w:color="auto" w:fill="2D6A4F"/>
          </w:tcPr>
          <w:p>
            <w:pPr>
              <w:jc w:val="center"/>
            </w:pPr>
            <w:r>
              <w:rPr>
                <w:rFonts w:ascii="Calibri" w:hAnsi="Calibri"/>
                <w:b/>
                <w:color w:val="FFFFFF"/>
                <w:sz w:val="17"/>
              </w:rPr>
              <w:t>How It Works</w:t>
            </w:r>
          </w:p>
        </w:tc>
      </w:tr>
      <w:tr>
        <w:tc>
          <w:tcPr>
            <w:tcW w:type="dxa" w:w="2268"/>
            <w:shd w:val="clear" w:color="auto" w:fill="FFFFFF"/>
          </w:tcPr>
          <w:p>
            <w:r>
              <w:rPr>
                <w:rFonts w:ascii="Calibri" w:hAnsi="Calibri"/>
                <w:b w:val="0"/>
                <w:color w:val="1A1A1A"/>
                <w:sz w:val="17"/>
              </w:rPr>
              <w:t>The Ears (thermal windows)</w:t>
            </w:r>
          </w:p>
        </w:tc>
        <w:tc>
          <w:tcPr>
            <w:tcW w:type="dxa" w:w="7370"/>
            <w:shd w:val="clear" w:color="auto" w:fill="FFFFFF"/>
          </w:tcPr>
          <w:p>
            <w:r>
              <w:rPr>
                <w:rFonts w:ascii="Calibri" w:hAnsi="Calibri"/>
                <w:b w:val="0"/>
                <w:color w:val="1A1A1A"/>
                <w:sz w:val="17"/>
              </w:rPr>
              <w:t>Large, thin, highly vascularised pinnae. Elephants vasodilate/"flood" the ears with blood, then flap to create convective + evaporative cooling; cooled blood returns to core. Up to ~100% of an African elephant's heat-loss need can be met by the pinnae (Phillips &amp; Heath 1992)</w:t>
            </w:r>
          </w:p>
        </w:tc>
      </w:tr>
      <w:tr>
        <w:tc>
          <w:tcPr>
            <w:tcW w:type="dxa" w:w="2268"/>
            <w:shd w:val="clear" w:color="auto" w:fill="EAF7EE"/>
          </w:tcPr>
          <w:p>
            <w:r>
              <w:rPr>
                <w:rFonts w:ascii="Calibri" w:hAnsi="Calibri"/>
                <w:b w:val="0"/>
                <w:color w:val="1A1A1A"/>
                <w:sz w:val="17"/>
              </w:rPr>
              <w:t>Wallowing &amp; Spraying</w:t>
            </w:r>
          </w:p>
        </w:tc>
        <w:tc>
          <w:tcPr>
            <w:tcW w:type="dxa" w:w="7370"/>
            <w:shd w:val="clear" w:color="auto" w:fill="EAF7EE"/>
          </w:tcPr>
          <w:p>
            <w:r>
              <w:rPr>
                <w:rFonts w:ascii="Calibri" w:hAnsi="Calibri"/>
                <w:b w:val="0"/>
                <w:color w:val="1A1A1A"/>
                <w:sz w:val="17"/>
              </w:rPr>
              <w:t>Bathing in mud/water + trunk-spraying water = PRIMARY evaporative cooling. Water evaporation cools; residual mud blocks solar radiation and prolongs water retention</w:t>
            </w:r>
          </w:p>
        </w:tc>
      </w:tr>
      <w:tr>
        <w:tc>
          <w:tcPr>
            <w:tcW w:type="dxa" w:w="2268"/>
            <w:shd w:val="clear" w:color="auto" w:fill="FFFFFF"/>
          </w:tcPr>
          <w:p>
            <w:r>
              <w:rPr>
                <w:rFonts w:ascii="Calibri" w:hAnsi="Calibri"/>
                <w:b w:val="0"/>
                <w:color w:val="1A1A1A"/>
                <w:sz w:val="17"/>
              </w:rPr>
              <w:t>Cutaneous Water Loss</w:t>
            </w:r>
          </w:p>
        </w:tc>
        <w:tc>
          <w:tcPr>
            <w:tcW w:type="dxa" w:w="7370"/>
            <w:shd w:val="clear" w:color="auto" w:fill="FFFFFF"/>
          </w:tcPr>
          <w:p>
            <w:r>
              <w:rPr>
                <w:rFonts w:ascii="Calibri" w:hAnsi="Calibri"/>
                <w:b w:val="0"/>
                <w:color w:val="1A1A1A"/>
                <w:sz w:val="17"/>
              </w:rPr>
              <w:t>Water diffuses through the bare skin itself; skin micro-channels hold applied water/mud. At 29–32°C ambient, evaporative cooling becomes the ONLY remaining avenue</w:t>
            </w:r>
          </w:p>
        </w:tc>
      </w:tr>
      <w:tr>
        <w:tc>
          <w:tcPr>
            <w:tcW w:type="dxa" w:w="2268"/>
            <w:shd w:val="clear" w:color="auto" w:fill="EAF7EE"/>
          </w:tcPr>
          <w:p>
            <w:r>
              <w:rPr>
                <w:rFonts w:ascii="Calibri" w:hAnsi="Calibri"/>
                <w:b w:val="0"/>
                <w:color w:val="1A1A1A"/>
                <w:sz w:val="17"/>
              </w:rPr>
              <w:t>Body-wide thermal windows</w:t>
            </w:r>
          </w:p>
        </w:tc>
        <w:tc>
          <w:tcPr>
            <w:tcW w:type="dxa" w:w="7370"/>
            <w:shd w:val="clear" w:color="auto" w:fill="EAF7EE"/>
          </w:tcPr>
          <w:p>
            <w:r>
              <w:rPr>
                <w:rFonts w:ascii="Calibri" w:hAnsi="Calibri"/>
                <w:b w:val="0"/>
                <w:color w:val="1A1A1A"/>
                <w:sz w:val="17"/>
              </w:rPr>
              <w:t>Discrete hot vascular patches appear across the whole body surface (not just ears) as ambient temperature rises (Weissenböck et al. 2010)</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8.4  How Heat Stress Kills (Pathophysiology)</w:t>
            </w:r>
          </w:p>
        </w:tc>
      </w:tr>
    </w:tbl>
    <w:p>
      <w:pPr>
        <w:spacing w:after="40"/>
      </w:pPr>
    </w:p>
    <w:p>
      <w:pPr>
        <w:spacing w:after="40"/>
        <w:ind w:left="283" w:hanging="170"/>
      </w:pPr>
      <w:r>
        <w:rPr>
          <w:rFonts w:ascii="Calibri" w:hAnsi="Calibri"/>
          <w:color w:val="1A1A1A"/>
          <w:sz w:val="19"/>
        </w:rPr>
        <w:t>•  HEAT STROKE = core temperature &gt;40°C plus CNS dysfunction, progressing to multi-organ failure</w:t>
      </w:r>
    </w:p>
    <w:p>
      <w:pPr>
        <w:spacing w:after="40"/>
        <w:ind w:left="283" w:hanging="170"/>
      </w:pPr>
      <w:r>
        <w:rPr>
          <w:rFonts w:ascii="Calibri" w:hAnsi="Calibri"/>
          <w:color w:val="1A1A1A"/>
          <w:sz w:val="19"/>
        </w:rPr>
        <w:t>•  Cascade: excess heat → protein denaturation, mitochondrial dysfunction, oxidative stress, release of DAMPs → systemic inflammatory response</w:t>
      </w:r>
    </w:p>
    <w:p>
      <w:pPr>
        <w:spacing w:after="40"/>
        <w:ind w:left="283" w:hanging="170"/>
      </w:pPr>
      <w:r>
        <w:rPr>
          <w:rFonts w:ascii="Calibri" w:hAnsi="Calibri"/>
          <w:color w:val="1A1A1A"/>
          <w:sz w:val="19"/>
        </w:rPr>
        <w:t>•  ENDOTHELIAL barrier disruption (unifying lesion) → vascular leak, oedema, microthrombi → impaired perfusion → ischaemic organ injury</w:t>
      </w:r>
    </w:p>
    <w:p>
      <w:pPr>
        <w:spacing w:after="40"/>
        <w:ind w:left="283" w:hanging="170"/>
      </w:pPr>
      <w:r>
        <w:rPr>
          <w:rFonts w:ascii="Calibri" w:hAnsi="Calibri"/>
          <w:color w:val="1A1A1A"/>
          <w:sz w:val="19"/>
        </w:rPr>
        <w:t>•  DIC (disseminated intravascular coagulation) reported in ~48% of severe heat-stroke cases — strongly linked to multi-organ dysfunction and death</w:t>
      </w:r>
    </w:p>
    <w:p>
      <w:pPr>
        <w:spacing w:after="40"/>
        <w:ind w:left="283" w:hanging="170"/>
      </w:pPr>
      <w:r>
        <w:rPr>
          <w:rFonts w:ascii="Calibri" w:hAnsi="Calibri"/>
          <w:color w:val="1A1A1A"/>
          <w:sz w:val="19"/>
        </w:rPr>
        <w:t>•  Organ-specific: liver (coagulopathy), kidney (rhabdomyolysis → AKI), heart (arrhythmia → circulatory collapse, irreversible shock)</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8.5  Recent Heat-Wave Deaths in India</w:t>
            </w:r>
          </w:p>
        </w:tc>
      </w:tr>
    </w:tbl>
    <w:p>
      <w:pPr>
        <w:spacing w:after="40"/>
      </w:pPr>
    </w:p>
    <w:p>
      <w:pPr>
        <w:spacing w:after="40"/>
        <w:ind w:left="283" w:hanging="170"/>
      </w:pPr>
      <w:r>
        <w:rPr>
          <w:rFonts w:ascii="Calibri" w:hAnsi="Calibri"/>
          <w:color w:val="1A1A1A"/>
          <w:sz w:val="19"/>
        </w:rPr>
        <w:t>•  April 2022, Karnataka: two ~15-yr-old elephants died within a week near Cauvery Wildlife Sanctuary — one of heat stroke (Chikkalahalli), one of suspected dehydration (Satnur range), amid drought + extreme heat</w:t>
      </w:r>
    </w:p>
    <w:p>
      <w:pPr>
        <w:spacing w:after="40"/>
        <w:ind w:left="283" w:hanging="170"/>
      </w:pPr>
      <w:r>
        <w:rPr>
          <w:rFonts w:ascii="Calibri" w:hAnsi="Calibri"/>
          <w:color w:val="1A1A1A"/>
          <w:sz w:val="19"/>
        </w:rPr>
        <w:t>•  Heat stroke is documented as a cause of death in captive juvenile elephants forced to work in heat without adequate water/shade</w:t>
      </w:r>
    </w:p>
    <w:p>
      <w:pPr>
        <w:spacing w:after="40"/>
        <w:ind w:left="283" w:hanging="170"/>
      </w:pPr>
      <w:r>
        <w:rPr>
          <w:rFonts w:ascii="Calibri" w:hAnsi="Calibri"/>
          <w:color w:val="1A1A1A"/>
          <w:sz w:val="19"/>
        </w:rPr>
        <w:t>•  2024 Kerala: record summer heat reported to make captive temple elephants stressed and more aggressive — a heat-attributable welfare crisis</w:t>
      </w:r>
    </w:p>
    <w:p>
      <w:pPr>
        <w:spacing w:after="40"/>
        <w:ind w:left="283" w:hanging="170"/>
      </w:pPr>
      <w:r>
        <w:rPr>
          <w:rFonts w:ascii="Calibri" w:hAnsi="Calibri"/>
          <w:color w:val="1A1A1A"/>
          <w:sz w:val="19"/>
        </w:rPr>
        <w:t>•  CAUTION: not all elephant deaths in hot months are heat-related — Odisha's 106 elephant deaths in 2024–25 were largely electrocution, not heat</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8.6  Prevention &amp; Management</w:t>
            </w:r>
          </w:p>
        </w:tc>
      </w:tr>
    </w:tbl>
    <w:p>
      <w:pPr>
        <w:spacing w:after="40"/>
      </w:pPr>
    </w:p>
    <w:p>
      <w:pPr>
        <w:spacing w:after="40"/>
        <w:ind w:left="283" w:hanging="170"/>
      </w:pPr>
      <w:r>
        <w:rPr>
          <w:rFonts w:ascii="Calibri" w:hAnsi="Calibri"/>
          <w:color w:val="1A1A1A"/>
          <w:sz w:val="19"/>
        </w:rPr>
        <w:t>•  Ensure constant access to SHADE and clean DRINKING WATER, especially 11 AM – 4 PM</w:t>
      </w:r>
    </w:p>
    <w:p>
      <w:pPr>
        <w:spacing w:after="40"/>
        <w:ind w:left="283" w:hanging="170"/>
      </w:pPr>
      <w:r>
        <w:rPr>
          <w:rFonts w:ascii="Calibri" w:hAnsi="Calibri"/>
          <w:color w:val="1A1A1A"/>
          <w:sz w:val="19"/>
        </w:rPr>
        <w:t>•  Provide wallowing pools / mud baths for captive elephants</w:t>
      </w:r>
    </w:p>
    <w:p>
      <w:pPr>
        <w:spacing w:after="40"/>
        <w:ind w:left="283" w:hanging="170"/>
      </w:pPr>
      <w:r>
        <w:rPr>
          <w:rFonts w:ascii="Calibri" w:hAnsi="Calibri"/>
          <w:color w:val="1A1A1A"/>
          <w:sz w:val="19"/>
        </w:rPr>
        <w:t>•  Avoid working/walking elephants during peak heat; reschedule to early morning or evening</w:t>
      </w:r>
    </w:p>
    <w:p>
      <w:pPr>
        <w:spacing w:after="40"/>
        <w:ind w:left="283" w:hanging="170"/>
      </w:pPr>
      <w:r>
        <w:rPr>
          <w:rFonts w:ascii="Calibri" w:hAnsi="Calibri"/>
          <w:color w:val="1A1A1A"/>
          <w:sz w:val="19"/>
        </w:rPr>
        <w:t>•  Recognise heat-stress signs: rapid breathing, intensified ear-flapping, lethargy, reluctance to move, collapse</w:t>
      </w:r>
    </w:p>
    <w:p>
      <w:pPr>
        <w:spacing w:after="40"/>
        <w:ind w:left="283" w:hanging="170"/>
      </w:pPr>
      <w:r>
        <w:rPr>
          <w:rFonts w:ascii="Calibri" w:hAnsi="Calibri"/>
          <w:color w:val="1A1A1A"/>
          <w:sz w:val="19"/>
        </w:rPr>
        <w:t>•  Emergency cooling: continuous water spraying (especially ears, head), move to shade, IV fluids</w:t>
      </w:r>
    </w:p>
    <w:p>
      <w:pPr>
        <w:spacing w:before="0" w:after="0"/>
      </w:pPr>
      <w:r>
        <w:br w:type="page"/>
      </w:r>
    </w:p>
    <w:tbl>
      <w:tblPr>
        <w:tblStyle w:val="TableGrid"/>
        <w:tblW w:type="auto" w:w="0"/>
        <w:tblLook w:firstColumn="1" w:firstRow="1" w:lastColumn="0" w:lastRow="0" w:noHBand="0" w:noVBand="1" w:val="04A0"/>
      </w:tblPr>
      <w:tblGrid>
        <w:gridCol w:w="9638"/>
      </w:tblGrid>
      <w:tr>
        <w:tc>
          <w:tcPr>
            <w:tcW w:type="dxa" w:w="9638"/>
            <w:shd w:val="clear" w:color="auto" w:fill="1B4332"/>
          </w:tcPr>
          <w:p>
            <w:pPr>
              <w:spacing w:before="160" w:after="160"/>
            </w:pPr>
            <w:r>
              <w:rPr>
                <w:rFonts w:ascii="Calibri" w:hAnsi="Calibri"/>
                <w:b/>
                <w:color w:val="FFFFFF"/>
                <w:sz w:val="26"/>
              </w:rPr>
              <w:t>9.  Iron Deficiency Anaemia</w:t>
            </w:r>
          </w:p>
        </w:tc>
      </w:tr>
    </w:tbl>
    <w:p>
      <w:pPr>
        <w:spacing w:after="40"/>
      </w:pPr>
    </w:p>
    <w:p>
      <w:pPr>
        <w:spacing w:before="80" w:after="40"/>
        <w:jc w:val="center"/>
      </w:pPr>
      <w:r>
        <w:drawing>
          <wp:inline xmlns:a="http://schemas.openxmlformats.org/drawingml/2006/main" xmlns:pic="http://schemas.openxmlformats.org/drawingml/2006/picture">
            <wp:extent cx="4680000" cy="6056471"/>
            <wp:docPr id="11" name="Picture 11"/>
            <wp:cNvGraphicFramePr>
              <a:graphicFrameLocks noChangeAspect="1"/>
            </wp:cNvGraphicFramePr>
            <a:graphic>
              <a:graphicData uri="http://schemas.openxmlformats.org/drawingml/2006/picture">
                <pic:pic>
                  <pic:nvPicPr>
                    <pic:cNvPr id="0" name="page_011.png"/>
                    <pic:cNvPicPr/>
                  </pic:nvPicPr>
                  <pic:blipFill>
                    <a:blip r:embed="rId19"/>
                    <a:stretch>
                      <a:fillRect/>
                    </a:stretch>
                  </pic:blipFill>
                  <pic:spPr>
                    <a:xfrm>
                      <a:off x="0" y="0"/>
                      <a:ext cx="4680000" cy="6056471"/>
                    </a:xfrm>
                    <a:prstGeom prst="rect"/>
                  </pic:spPr>
                </pic:pic>
              </a:graphicData>
            </a:graphic>
          </wp:inline>
        </w:drawing>
      </w:r>
    </w:p>
    <w:p>
      <w:pPr>
        <w:spacing w:after="120"/>
        <w:jc w:val="center"/>
      </w:pPr>
      <w:r>
        <w:rPr>
          <w:rFonts w:ascii="Calibri" w:hAnsi="Calibri"/>
          <w:i/>
          <w:color w:val="555555"/>
          <w:sz w:val="16"/>
        </w:rPr>
        <w:t>Slide 11 — Iron Deficiency Anaemia: blood smear showing microcytic hypochromic target cells</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9.1  Definition</w:t>
            </w:r>
          </w:p>
        </w:tc>
      </w:tr>
    </w:tbl>
    <w:p>
      <w:pPr>
        <w:spacing w:after="40"/>
      </w:pPr>
    </w:p>
    <w:p>
      <w:pPr>
        <w:spacing w:after="80"/>
        <w:jc w:val="both"/>
      </w:pPr>
      <w:r>
        <w:rPr>
          <w:rFonts w:ascii="Calibri" w:hAnsi="Calibri"/>
          <w:b w:val="0"/>
          <w:i w:val="0"/>
          <w:color w:val="1A1A1A"/>
          <w:sz w:val="19"/>
        </w:rPr>
        <w:t>Anaemia is a qualitative and quantitative reduction in the quality (and oxygen-carrying capacity) of the blood. Iron deficiency anaemia results from inadequate iron for haemoglobin synthesis, producing characteristic microcytic, hypochromic red blood cells.</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9.2  Clinical Signs Observed</w:t>
            </w:r>
          </w:p>
        </w:tc>
      </w:tr>
    </w:tbl>
    <w:p>
      <w:pPr>
        <w:spacing w:after="40"/>
      </w:pPr>
    </w:p>
    <w:p>
      <w:pPr>
        <w:spacing w:after="40"/>
        <w:ind w:left="283" w:hanging="170"/>
      </w:pPr>
      <w:r>
        <w:rPr>
          <w:rFonts w:ascii="Calibri" w:hAnsi="Calibri"/>
          <w:color w:val="1A1A1A"/>
          <w:sz w:val="19"/>
        </w:rPr>
        <w:t>•  Pale mucous membranes (conjunctiva, oral mucosa)</w:t>
      </w:r>
    </w:p>
    <w:p>
      <w:pPr>
        <w:spacing w:after="40"/>
        <w:ind w:left="283" w:hanging="170"/>
      </w:pPr>
      <w:r>
        <w:rPr>
          <w:rFonts w:ascii="Calibri" w:hAnsi="Calibri"/>
          <w:color w:val="1A1A1A"/>
          <w:sz w:val="19"/>
        </w:rPr>
        <w:t>•  Extreme weakness; unable to walk; very slow walk and reduced activity</w:t>
      </w:r>
    </w:p>
    <w:p>
      <w:pPr>
        <w:spacing w:after="40"/>
        <w:ind w:left="283" w:hanging="170"/>
      </w:pPr>
      <w:r>
        <w:rPr>
          <w:rFonts w:ascii="Calibri" w:hAnsi="Calibri"/>
          <w:color w:val="1A1A1A"/>
          <w:sz w:val="19"/>
        </w:rPr>
        <w:t>•  Lethargy, exercise intolerance, reduced work capacity in captive elephants</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9.3  Normal Haematology Reference Values (Indian Elephants)</w:t>
            </w:r>
          </w:p>
        </w:tc>
      </w:tr>
    </w:tbl>
    <w:p>
      <w:pPr>
        <w:spacing w:after="40"/>
      </w:pPr>
    </w:p>
    <w:p>
      <w:pPr>
        <w:spacing w:after="60"/>
        <w:jc w:val="both"/>
      </w:pPr>
      <w:r>
        <w:rPr>
          <w:rFonts w:ascii="Calibri" w:hAnsi="Calibri"/>
          <w:b w:val="0"/>
          <w:i w:val="0"/>
          <w:color w:val="1A1A1A"/>
          <w:sz w:val="19"/>
        </w:rPr>
        <w:t>Reference intervals for Indian elephants (Elephas maximus indicus) under human care (Frontiers Vet Sci 2025; PMC12301552). Note: elephant RBCs are LARGE (high MCV) and relatively few in number:</w:t>
      </w:r>
    </w:p>
    <w:tbl>
      <w:tblPr>
        <w:tblStyle w:val="TableGrid"/>
        <w:tblW w:type="auto" w:w="0"/>
        <w:tblLook w:firstColumn="1" w:firstRow="1" w:lastColumn="0" w:lastRow="0" w:noHBand="0" w:noVBand="1" w:val="04A0"/>
      </w:tblPr>
      <w:tblGrid>
        <w:gridCol w:w="3213"/>
        <w:gridCol w:w="3213"/>
        <w:gridCol w:w="3213"/>
      </w:tblGrid>
      <w:tr>
        <w:tc>
          <w:tcPr>
            <w:tcW w:type="dxa" w:w="2268"/>
            <w:shd w:val="clear" w:color="auto" w:fill="2D6A4F"/>
          </w:tcPr>
          <w:p>
            <w:pPr>
              <w:jc w:val="center"/>
            </w:pPr>
            <w:r>
              <w:rPr>
                <w:rFonts w:ascii="Calibri" w:hAnsi="Calibri"/>
                <w:b/>
                <w:color w:val="FFFFFF"/>
                <w:sz w:val="17"/>
              </w:rPr>
              <w:t>Parameter</w:t>
            </w:r>
          </w:p>
        </w:tc>
        <w:tc>
          <w:tcPr>
            <w:tcW w:type="dxa" w:w="2835"/>
            <w:shd w:val="clear" w:color="auto" w:fill="2D6A4F"/>
          </w:tcPr>
          <w:p>
            <w:pPr>
              <w:jc w:val="center"/>
            </w:pPr>
            <w:r>
              <w:rPr>
                <w:rFonts w:ascii="Calibri" w:hAnsi="Calibri"/>
                <w:b/>
                <w:color w:val="FFFFFF"/>
                <w:sz w:val="17"/>
              </w:rPr>
              <w:t>Reference Interval</w:t>
            </w:r>
          </w:p>
        </w:tc>
        <w:tc>
          <w:tcPr>
            <w:tcW w:type="dxa" w:w="4535"/>
            <w:shd w:val="clear" w:color="auto" w:fill="2D6A4F"/>
          </w:tcPr>
          <w:p>
            <w:pPr>
              <w:jc w:val="center"/>
            </w:pPr>
            <w:r>
              <w:rPr>
                <w:rFonts w:ascii="Calibri" w:hAnsi="Calibri"/>
                <w:b/>
                <w:color w:val="FFFFFF"/>
                <w:sz w:val="17"/>
              </w:rPr>
              <w:t>Note</w:t>
            </w:r>
          </w:p>
        </w:tc>
      </w:tr>
      <w:tr>
        <w:tc>
          <w:tcPr>
            <w:tcW w:type="dxa" w:w="2268"/>
            <w:shd w:val="clear" w:color="auto" w:fill="FFFFFF"/>
          </w:tcPr>
          <w:p>
            <w:r>
              <w:rPr>
                <w:rFonts w:ascii="Calibri" w:hAnsi="Calibri"/>
                <w:b w:val="0"/>
                <w:color w:val="1A1A1A"/>
                <w:sz w:val="17"/>
              </w:rPr>
              <w:t>Haemoglobin (Hb)</w:t>
            </w:r>
          </w:p>
        </w:tc>
        <w:tc>
          <w:tcPr>
            <w:tcW w:type="dxa" w:w="2835"/>
            <w:shd w:val="clear" w:color="auto" w:fill="FFFFFF"/>
          </w:tcPr>
          <w:p>
            <w:r>
              <w:rPr>
                <w:rFonts w:ascii="Calibri" w:hAnsi="Calibri"/>
                <w:b w:val="0"/>
                <w:color w:val="1A1A1A"/>
                <w:sz w:val="17"/>
              </w:rPr>
              <w:t>8.62–16.78 g/dL</w:t>
            </w:r>
          </w:p>
        </w:tc>
        <w:tc>
          <w:tcPr>
            <w:tcW w:type="dxa" w:w="4535"/>
            <w:shd w:val="clear" w:color="auto" w:fill="FFFFFF"/>
          </w:tcPr>
          <w:p>
            <w:r>
              <w:rPr>
                <w:rFonts w:ascii="Calibri" w:hAnsi="Calibri"/>
                <w:b w:val="0"/>
                <w:color w:val="1A1A1A"/>
                <w:sz w:val="17"/>
              </w:rPr>
              <w:t>Low Hb confirms anaemia</w:t>
            </w:r>
          </w:p>
        </w:tc>
      </w:tr>
      <w:tr>
        <w:tc>
          <w:tcPr>
            <w:tcW w:type="dxa" w:w="2268"/>
            <w:shd w:val="clear" w:color="auto" w:fill="EAF7EE"/>
          </w:tcPr>
          <w:p>
            <w:r>
              <w:rPr>
                <w:rFonts w:ascii="Calibri" w:hAnsi="Calibri"/>
                <w:b w:val="0"/>
                <w:color w:val="1A1A1A"/>
                <w:sz w:val="17"/>
              </w:rPr>
              <w:t>PCV / Haematocrit</w:t>
            </w:r>
          </w:p>
        </w:tc>
        <w:tc>
          <w:tcPr>
            <w:tcW w:type="dxa" w:w="2835"/>
            <w:shd w:val="clear" w:color="auto" w:fill="EAF7EE"/>
          </w:tcPr>
          <w:p>
            <w:r>
              <w:rPr>
                <w:rFonts w:ascii="Calibri" w:hAnsi="Calibri"/>
                <w:b w:val="0"/>
                <w:color w:val="1A1A1A"/>
                <w:sz w:val="17"/>
              </w:rPr>
              <w:t>21.73–49.25 %</w:t>
            </w:r>
          </w:p>
        </w:tc>
        <w:tc>
          <w:tcPr>
            <w:tcW w:type="dxa" w:w="4535"/>
            <w:shd w:val="clear" w:color="auto" w:fill="EAF7EE"/>
          </w:tcPr>
          <w:p>
            <w:r>
              <w:rPr>
                <w:rFonts w:ascii="Calibri" w:hAnsi="Calibri"/>
                <w:b w:val="0"/>
                <w:color w:val="1A1A1A"/>
                <w:sz w:val="17"/>
              </w:rPr>
              <w:t>Packed cell volume</w:t>
            </w:r>
          </w:p>
        </w:tc>
      </w:tr>
      <w:tr>
        <w:tc>
          <w:tcPr>
            <w:tcW w:type="dxa" w:w="2268"/>
            <w:shd w:val="clear" w:color="auto" w:fill="FFFFFF"/>
          </w:tcPr>
          <w:p>
            <w:r>
              <w:rPr>
                <w:rFonts w:ascii="Calibri" w:hAnsi="Calibri"/>
                <w:b w:val="0"/>
                <w:color w:val="1A1A1A"/>
                <w:sz w:val="17"/>
              </w:rPr>
              <w:t>RBC count</w:t>
            </w:r>
          </w:p>
        </w:tc>
        <w:tc>
          <w:tcPr>
            <w:tcW w:type="dxa" w:w="2835"/>
            <w:shd w:val="clear" w:color="auto" w:fill="FFFFFF"/>
          </w:tcPr>
          <w:p>
            <w:r>
              <w:rPr>
                <w:rFonts w:ascii="Calibri" w:hAnsi="Calibri"/>
                <w:b w:val="0"/>
                <w:color w:val="1A1A1A"/>
                <w:sz w:val="17"/>
              </w:rPr>
              <w:t>1.77–4.9 ×10⁶/µL</w:t>
            </w:r>
          </w:p>
        </w:tc>
        <w:tc>
          <w:tcPr>
            <w:tcW w:type="dxa" w:w="4535"/>
            <w:shd w:val="clear" w:color="auto" w:fill="FFFFFF"/>
          </w:tcPr>
          <w:p>
            <w:r>
              <w:rPr>
                <w:rFonts w:ascii="Calibri" w:hAnsi="Calibri"/>
                <w:b w:val="0"/>
                <w:color w:val="1A1A1A"/>
                <w:sz w:val="17"/>
              </w:rPr>
              <w:t>Relatively LOW count (large cells)</w:t>
            </w:r>
          </w:p>
        </w:tc>
      </w:tr>
      <w:tr>
        <w:tc>
          <w:tcPr>
            <w:tcW w:type="dxa" w:w="2268"/>
            <w:shd w:val="clear" w:color="auto" w:fill="EAF7EE"/>
          </w:tcPr>
          <w:p>
            <w:r>
              <w:rPr>
                <w:rFonts w:ascii="Calibri" w:hAnsi="Calibri"/>
                <w:b w:val="0"/>
                <w:color w:val="1A1A1A"/>
                <w:sz w:val="17"/>
              </w:rPr>
              <w:t>MCV</w:t>
            </w:r>
          </w:p>
        </w:tc>
        <w:tc>
          <w:tcPr>
            <w:tcW w:type="dxa" w:w="2835"/>
            <w:shd w:val="clear" w:color="auto" w:fill="EAF7EE"/>
          </w:tcPr>
          <w:p>
            <w:r>
              <w:rPr>
                <w:rFonts w:ascii="Calibri" w:hAnsi="Calibri"/>
                <w:b w:val="0"/>
                <w:color w:val="1A1A1A"/>
                <w:sz w:val="17"/>
              </w:rPr>
              <w:t>112.49–131.39 fL</w:t>
            </w:r>
          </w:p>
        </w:tc>
        <w:tc>
          <w:tcPr>
            <w:tcW w:type="dxa" w:w="4535"/>
            <w:shd w:val="clear" w:color="auto" w:fill="EAF7EE"/>
          </w:tcPr>
          <w:p>
            <w:r>
              <w:rPr>
                <w:rFonts w:ascii="Calibri" w:hAnsi="Calibri"/>
                <w:b w:val="0"/>
                <w:color w:val="1A1A1A"/>
                <w:sz w:val="17"/>
              </w:rPr>
              <w:t>HIGH — elephant RBCs are large</w:t>
            </w:r>
          </w:p>
        </w:tc>
      </w:tr>
      <w:tr>
        <w:tc>
          <w:tcPr>
            <w:tcW w:type="dxa" w:w="2268"/>
            <w:shd w:val="clear" w:color="auto" w:fill="FFFFFF"/>
          </w:tcPr>
          <w:p>
            <w:r>
              <w:rPr>
                <w:rFonts w:ascii="Calibri" w:hAnsi="Calibri"/>
                <w:b w:val="0"/>
                <w:color w:val="1A1A1A"/>
                <w:sz w:val="17"/>
              </w:rPr>
              <w:t>MCH</w:t>
            </w:r>
          </w:p>
        </w:tc>
        <w:tc>
          <w:tcPr>
            <w:tcW w:type="dxa" w:w="2835"/>
            <w:shd w:val="clear" w:color="auto" w:fill="FFFFFF"/>
          </w:tcPr>
          <w:p>
            <w:r>
              <w:rPr>
                <w:rFonts w:ascii="Calibri" w:hAnsi="Calibri"/>
                <w:b w:val="0"/>
                <w:color w:val="1A1A1A"/>
                <w:sz w:val="17"/>
              </w:rPr>
              <w:t>39.3–62.39 pg</w:t>
            </w:r>
          </w:p>
        </w:tc>
        <w:tc>
          <w:tcPr>
            <w:tcW w:type="dxa" w:w="4535"/>
            <w:shd w:val="clear" w:color="auto" w:fill="FFFFFF"/>
          </w:tcPr>
          <w:p>
            <w:r>
              <w:rPr>
                <w:rFonts w:ascii="Calibri" w:hAnsi="Calibri"/>
                <w:b w:val="0"/>
                <w:color w:val="1A1A1A"/>
                <w:sz w:val="17"/>
              </w:rPr>
              <w:t>Mean cell haemoglobin</w:t>
            </w:r>
          </w:p>
        </w:tc>
      </w:tr>
      <w:tr>
        <w:tc>
          <w:tcPr>
            <w:tcW w:type="dxa" w:w="2268"/>
            <w:shd w:val="clear" w:color="auto" w:fill="EAF7EE"/>
          </w:tcPr>
          <w:p>
            <w:r>
              <w:rPr>
                <w:rFonts w:ascii="Calibri" w:hAnsi="Calibri"/>
                <w:b w:val="0"/>
                <w:color w:val="1A1A1A"/>
                <w:sz w:val="17"/>
              </w:rPr>
              <w:t>MCHC</w:t>
            </w:r>
          </w:p>
        </w:tc>
        <w:tc>
          <w:tcPr>
            <w:tcW w:type="dxa" w:w="2835"/>
            <w:shd w:val="clear" w:color="auto" w:fill="EAF7EE"/>
          </w:tcPr>
          <w:p>
            <w:r>
              <w:rPr>
                <w:rFonts w:ascii="Calibri" w:hAnsi="Calibri"/>
                <w:b w:val="0"/>
                <w:color w:val="1A1A1A"/>
                <w:sz w:val="17"/>
              </w:rPr>
              <w:t>33.40–41.0 g/dL</w:t>
            </w:r>
          </w:p>
        </w:tc>
        <w:tc>
          <w:tcPr>
            <w:tcW w:type="dxa" w:w="4535"/>
            <w:shd w:val="clear" w:color="auto" w:fill="EAF7EE"/>
          </w:tcPr>
          <w:p>
            <w:r>
              <w:rPr>
                <w:rFonts w:ascii="Calibri" w:hAnsi="Calibri"/>
                <w:b w:val="0"/>
                <w:color w:val="1A1A1A"/>
                <w:sz w:val="17"/>
              </w:rPr>
              <w:t>Mean cell Hb concentration</w:t>
            </w:r>
          </w:p>
        </w:tc>
      </w:tr>
      <w:tr>
        <w:tc>
          <w:tcPr>
            <w:tcW w:type="dxa" w:w="2268"/>
            <w:shd w:val="clear" w:color="auto" w:fill="FFFFFF"/>
          </w:tcPr>
          <w:p>
            <w:r>
              <w:rPr>
                <w:rFonts w:ascii="Calibri" w:hAnsi="Calibri"/>
                <w:b w:val="0"/>
                <w:color w:val="1A1A1A"/>
                <w:sz w:val="17"/>
              </w:rPr>
              <w:t>WBC (TLC)</w:t>
            </w:r>
          </w:p>
        </w:tc>
        <w:tc>
          <w:tcPr>
            <w:tcW w:type="dxa" w:w="2835"/>
            <w:shd w:val="clear" w:color="auto" w:fill="FFFFFF"/>
          </w:tcPr>
          <w:p>
            <w:r>
              <w:rPr>
                <w:rFonts w:ascii="Calibri" w:hAnsi="Calibri"/>
                <w:b w:val="0"/>
                <w:color w:val="1A1A1A"/>
                <w:sz w:val="17"/>
              </w:rPr>
              <w:t>9,912–29,475 cells/µL</w:t>
            </w:r>
          </w:p>
        </w:tc>
        <w:tc>
          <w:tcPr>
            <w:tcW w:type="dxa" w:w="4535"/>
            <w:shd w:val="clear" w:color="auto" w:fill="FFFFFF"/>
          </w:tcPr>
          <w:p>
            <w:r>
              <w:rPr>
                <w:rFonts w:ascii="Calibri" w:hAnsi="Calibri"/>
                <w:b w:val="0"/>
                <w:color w:val="1A1A1A"/>
                <w:sz w:val="17"/>
              </w:rPr>
              <w:t>Total leucocyte count</w:t>
            </w:r>
          </w:p>
        </w:tc>
      </w:tr>
      <w:tr>
        <w:tc>
          <w:tcPr>
            <w:tcW w:type="dxa" w:w="2268"/>
            <w:shd w:val="clear" w:color="auto" w:fill="EAF7EE"/>
          </w:tcPr>
          <w:p>
            <w:r>
              <w:rPr>
                <w:rFonts w:ascii="Calibri" w:hAnsi="Calibri"/>
                <w:b w:val="0"/>
                <w:color w:val="1A1A1A"/>
                <w:sz w:val="17"/>
              </w:rPr>
              <w:t>Platelets</w:t>
            </w:r>
          </w:p>
        </w:tc>
        <w:tc>
          <w:tcPr>
            <w:tcW w:type="dxa" w:w="2835"/>
            <w:shd w:val="clear" w:color="auto" w:fill="EAF7EE"/>
          </w:tcPr>
          <w:p>
            <w:r>
              <w:rPr>
                <w:rFonts w:ascii="Calibri" w:hAnsi="Calibri"/>
                <w:b w:val="0"/>
                <w:color w:val="1A1A1A"/>
                <w:sz w:val="17"/>
              </w:rPr>
              <w:t>171.6–947.1 ×10³/µL</w:t>
            </w:r>
          </w:p>
        </w:tc>
        <w:tc>
          <w:tcPr>
            <w:tcW w:type="dxa" w:w="4535"/>
            <w:shd w:val="clear" w:color="auto" w:fill="EAF7EE"/>
          </w:tcPr>
          <w:p>
            <w:r>
              <w:rPr>
                <w:rFonts w:ascii="Calibri" w:hAnsi="Calibri"/>
                <w:b w:val="0"/>
                <w:color w:val="1A1A1A"/>
                <w:sz w:val="17"/>
              </w:rPr>
              <w:t>—</w:t>
            </w:r>
          </w:p>
        </w:tc>
      </w:tr>
    </w:tbl>
    <w:p>
      <w:pPr>
        <w:spacing w:after="40"/>
      </w:pPr>
    </w:p>
    <w:p>
      <w:pPr>
        <w:spacing w:after="40"/>
        <w:ind w:left="283" w:hanging="170"/>
      </w:pPr>
      <w:r>
        <w:rPr>
          <w:rFonts w:ascii="Calibri" w:hAnsi="Calibri"/>
          <w:color w:val="1A1A1A"/>
          <w:sz w:val="19"/>
        </w:rPr>
        <w:t>•  DISTINCTIVE MORPHOLOGY: elephants (Afrotheria) have HETEROPHILS instead of neutrophils, and a unique MONOCYTE with a bilobed/trilobed nucleus (peroxidase-positive); MONOCYTES are the most abundant leucocyte in healthy elephants</w:t>
      </w:r>
    </w:p>
    <w:p>
      <w:pPr>
        <w:spacing w:after="40"/>
        <w:ind w:left="283" w:hanging="170"/>
      </w:pPr>
      <w:r>
        <w:rPr>
          <w:rFonts w:ascii="Calibri" w:hAnsi="Calibri"/>
          <w:color w:val="1A1A1A"/>
          <w:sz w:val="19"/>
        </w:rPr>
        <w:t>•  Automated analysers are INACCURATE for elephant blood — a manual Wright/Giemsa differential is preferred</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9.4  Diagnosis</w:t>
            </w:r>
          </w:p>
        </w:tc>
      </w:tr>
    </w:tbl>
    <w:p>
      <w:pPr>
        <w:spacing w:after="40"/>
      </w:pPr>
    </w:p>
    <w:p>
      <w:pPr>
        <w:spacing w:after="40"/>
        <w:ind w:left="283" w:hanging="170"/>
      </w:pPr>
      <w:r>
        <w:rPr>
          <w:rFonts w:ascii="Calibri" w:hAnsi="Calibri"/>
          <w:color w:val="1A1A1A"/>
          <w:sz w:val="19"/>
        </w:rPr>
        <w:t>•  BLOOD EXAMINATION: Low Haemoglobin (Hb) below the reference interval</w:t>
      </w:r>
    </w:p>
    <w:p>
      <w:pPr>
        <w:spacing w:after="40"/>
        <w:ind w:left="283" w:hanging="170"/>
      </w:pPr>
      <w:r>
        <w:rPr>
          <w:rFonts w:ascii="Calibri" w:hAnsi="Calibri"/>
          <w:color w:val="1A1A1A"/>
          <w:sz w:val="19"/>
        </w:rPr>
        <w:t>•  BLOOD SMEAR: target cells (codocytes), hypochromia, microcytosis, anisocytosis (microcytic-hypochromic pattern supports iron deficiency by general veterinary principle)</w:t>
      </w:r>
    </w:p>
    <w:p>
      <w:pPr>
        <w:spacing w:after="40"/>
        <w:ind w:left="283" w:hanging="170"/>
      </w:pPr>
      <w:r>
        <w:rPr>
          <w:rFonts w:ascii="Calibri" w:hAnsi="Calibri"/>
          <w:color w:val="1A1A1A"/>
          <w:sz w:val="19"/>
        </w:rPr>
        <w:t>•  IRON PANEL: serum iron, ferritin, TIBC, transferrin saturation (low iron + high TIBC + low ferritin = deficiency); hepcidin in research settings</w:t>
      </w:r>
    </w:p>
    <w:p>
      <w:pPr>
        <w:spacing w:after="40"/>
        <w:ind w:left="283" w:hanging="170"/>
      </w:pPr>
      <w:r>
        <w:rPr>
          <w:rFonts w:ascii="Calibri" w:hAnsi="Calibri"/>
          <w:color w:val="1A1A1A"/>
          <w:sz w:val="19"/>
        </w:rPr>
        <w:t>•  PARASITOLOGY: faecal egg counts to identify blood-feeding helminths (see 9.2)</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9.5  Causes of Anaemia in Elephants</w:t>
            </w:r>
          </w:p>
        </w:tc>
      </w:tr>
    </w:tbl>
    <w:p>
      <w:pPr>
        <w:spacing w:after="40"/>
      </w:pPr>
    </w:p>
    <w:p>
      <w:pPr>
        <w:spacing w:after="40"/>
        <w:ind w:left="283" w:hanging="170"/>
      </w:pPr>
      <w:r>
        <w:rPr>
          <w:rFonts w:ascii="Calibri" w:hAnsi="Calibri"/>
          <w:color w:val="1A1A1A"/>
          <w:sz w:val="19"/>
        </w:rPr>
        <w:t>•  GI STRONGYLE NEMATODES (Murshidia, Quilonia, Bathmostomum, Equinurbia) → protein-losing gastroenteropathy → hypoalbuminaemia + anaemia</w:t>
      </w:r>
    </w:p>
    <w:p>
      <w:pPr>
        <w:spacing w:after="40"/>
        <w:ind w:left="283" w:hanging="170"/>
      </w:pPr>
      <w:r>
        <w:rPr>
          <w:rFonts w:ascii="Calibri" w:hAnsi="Calibri"/>
          <w:color w:val="1A1A1A"/>
          <w:sz w:val="19"/>
        </w:rPr>
        <w:t>•  HOOKWORMS: Bathmostomum sangeri (caecum/colon) and Grammocephalus hybridatus (bile duct/liver) — blood-feeders causing anaemia, weakness, hepatic insufficiency</w:t>
      </w:r>
    </w:p>
    <w:p>
      <w:pPr>
        <w:spacing w:after="40"/>
        <w:ind w:left="283" w:hanging="170"/>
      </w:pPr>
      <w:r>
        <w:rPr>
          <w:rFonts w:ascii="Calibri" w:hAnsi="Calibri"/>
          <w:color w:val="1A1A1A"/>
          <w:sz w:val="19"/>
        </w:rPr>
        <w:t>•  LIVER FLUKE Fasciola (Fascioloides) jacksoni — prevalence 18–62% in the Indomalayan region; causes anaemia + hypoproteinaemia, hepatic congestion/fibrosis</w:t>
      </w:r>
    </w:p>
    <w:p>
      <w:pPr>
        <w:spacing w:after="40"/>
        <w:ind w:left="283" w:hanging="170"/>
      </w:pPr>
      <w:r>
        <w:rPr>
          <w:rFonts w:ascii="Calibri" w:hAnsi="Calibri"/>
          <w:color w:val="1A1A1A"/>
          <w:sz w:val="19"/>
        </w:rPr>
        <w:t>•  NUTRITIONAL: iron, copper, cobalt deficiency (copper is needed for iron mobilisation); captive diets often deficient</w:t>
      </w:r>
    </w:p>
    <w:p>
      <w:pPr>
        <w:spacing w:after="40"/>
        <w:ind w:left="283" w:hanging="170"/>
      </w:pPr>
      <w:r>
        <w:rPr>
          <w:rFonts w:ascii="Calibri" w:hAnsi="Calibri"/>
          <w:color w:val="1A1A1A"/>
          <w:sz w:val="19"/>
        </w:rPr>
        <w:t>•  ANAEMIA OF CHRONIC DISEASE: especially chronic M. tuberculosis (iron-sequestration); EEHV in calves causes acute anaemia + thrombocytopenia</w:t>
      </w:r>
    </w:p>
    <w:tbl>
      <w:tblPr>
        <w:tblStyle w:val="TableGrid"/>
        <w:tblW w:type="auto" w:w="0"/>
        <w:tblLook w:firstColumn="1" w:firstRow="1" w:lastColumn="0" w:lastRow="0" w:noHBand="0" w:noVBand="1" w:val="04A0"/>
      </w:tblPr>
      <w:tblGrid>
        <w:gridCol w:w="9638"/>
      </w:tblGrid>
      <w:tr>
        <w:tc>
          <w:tcPr>
            <w:tcW w:type="dxa" w:w="9638"/>
            <w:shd w:val="clear" w:color="auto" w:fill="FAE0D8"/>
          </w:tcPr>
          <w:p>
            <w:pPr>
              <w:spacing w:before="100" w:after="100"/>
            </w:pPr>
            <w:r>
              <w:rPr>
                <w:rFonts w:ascii="Calibri" w:hAnsi="Calibri"/>
                <w:b/>
                <w:color w:val="8B0000"/>
                <w:sz w:val="18"/>
              </w:rPr>
              <w:t>IRON OVERLOAD CAUTION: Iron storage disease (haemochromatosis-type) is a recognised problem in captive elephants from excess dietary iron. Crucially, blind iron supplementation can REACTIVATE latent infections such as M. tuberculosis (iron feeds the pathogen). Confirm true iron-deficiency with an iron panel BEFORE supplementing — do not supplement reflexively. Adult forage requirement: Cu 10, Fe 50, Co 0.1 mg/kg.</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9.6  Treatment</w:t>
            </w:r>
          </w:p>
        </w:tc>
      </w:tr>
    </w:tbl>
    <w:p>
      <w:pPr>
        <w:spacing w:after="40"/>
      </w:pPr>
    </w:p>
    <w:p>
      <w:pPr>
        <w:spacing w:before="60" w:after="20"/>
      </w:pPr>
      <w:r>
        <w:rPr>
          <w:rFonts w:ascii="Calibri" w:hAnsi="Calibri"/>
          <w:b/>
          <w:color w:val="2D6A4F"/>
          <w:sz w:val="20"/>
        </w:rPr>
        <w:t>1. Diet Change — to full normal elephant diet:</w:t>
      </w:r>
    </w:p>
    <w:p>
      <w:pPr>
        <w:spacing w:after="40"/>
        <w:ind w:left="567" w:hanging="170"/>
      </w:pPr>
      <w:r>
        <w:rPr>
          <w:rFonts w:ascii="Calibri" w:hAnsi="Calibri"/>
          <w:color w:val="1A1A1A"/>
          <w:sz w:val="19"/>
        </w:rPr>
        <w:t>◦  Soybeans, horse gram, Napier grass, bamboo, leaves, grains, fruits</w:t>
      </w:r>
    </w:p>
    <w:p>
      <w:pPr>
        <w:spacing w:before="60" w:after="20"/>
      </w:pPr>
      <w:r>
        <w:rPr>
          <w:rFonts w:ascii="Calibri" w:hAnsi="Calibri"/>
          <w:b/>
          <w:color w:val="2D6A4F"/>
          <w:sz w:val="20"/>
        </w:rPr>
        <w:t>2. Supplementation:</w:t>
      </w:r>
    </w:p>
    <w:p>
      <w:pPr>
        <w:spacing w:after="40"/>
        <w:ind w:left="567" w:hanging="170"/>
      </w:pPr>
      <w:r>
        <w:rPr>
          <w:rFonts w:ascii="Calibri" w:hAnsi="Calibri"/>
          <w:color w:val="1A1A1A"/>
          <w:sz w:val="19"/>
        </w:rPr>
        <w:t>◦  IRON SUPPLEMENTS: Jaggery (gur), honey — traditional iron-rich supplements</w:t>
      </w:r>
    </w:p>
    <w:p>
      <w:pPr>
        <w:spacing w:after="40"/>
        <w:ind w:left="567" w:hanging="170"/>
      </w:pPr>
      <w:r>
        <w:rPr>
          <w:rFonts w:ascii="Calibri" w:hAnsi="Calibri"/>
          <w:color w:val="1A1A1A"/>
          <w:sz w:val="19"/>
        </w:rPr>
        <w:t>◦  VITAMIN B12 INJECTIONS: supports erythropoiesis (red blood cell production)</w:t>
      </w:r>
    </w:p>
    <w:p>
      <w:pPr>
        <w:spacing w:after="40"/>
        <w:ind w:left="567" w:hanging="170"/>
      </w:pPr>
      <w:r>
        <w:rPr>
          <w:rFonts w:ascii="Calibri" w:hAnsi="Calibri"/>
          <w:color w:val="1A1A1A"/>
          <w:sz w:val="19"/>
        </w:rPr>
        <w:t>◦  MULTIVITAMINS, Mineral mixture (M mixture)</w:t>
      </w:r>
    </w:p>
    <w:tbl>
      <w:tblPr>
        <w:tblStyle w:val="TableGrid"/>
        <w:tblW w:type="auto" w:w="0"/>
        <w:tblLook w:firstColumn="1" w:firstRow="1" w:lastColumn="0" w:lastRow="0" w:noHBand="0" w:noVBand="1" w:val="04A0"/>
      </w:tblPr>
      <w:tblGrid>
        <w:gridCol w:w="9638"/>
      </w:tblGrid>
      <w:tr>
        <w:tc>
          <w:tcPr>
            <w:tcW w:type="dxa" w:w="9638"/>
            <w:shd w:val="clear" w:color="auto" w:fill="D8F3DC"/>
          </w:tcPr>
          <w:p>
            <w:pPr>
              <w:spacing w:before="100" w:after="100"/>
            </w:pPr>
            <w:r>
              <w:rPr>
                <w:rFonts w:ascii="Calibri" w:hAnsi="Calibri"/>
                <w:b/>
                <w:color w:val="1B4332"/>
                <w:sz w:val="18"/>
              </w:rPr>
              <w:t>INVESTIGATION NOTE: Iron deficiency anaemia in elephants is often SECONDARY — investigate the underlying cause: chronic blood loss (haematophagous parasites — ticks, lice, GI helminths such as Bathmostomum), nutritional inadequacy, or chronic disease. Treating only the anaemia without addressing the cause leads to relapse. Always run a parasitological examination (faecal egg count, ectoparasite check) alongside iron supplementation.</w:t>
            </w:r>
          </w:p>
        </w:tc>
      </w:tr>
    </w:tbl>
    <w:p>
      <w:pPr>
        <w:spacing w:after="40"/>
      </w:pPr>
    </w:p>
    <w:p>
      <w:pPr>
        <w:spacing w:before="0" w:after="0"/>
      </w:pPr>
      <w:r>
        <w:br w:type="page"/>
      </w:r>
    </w:p>
    <w:tbl>
      <w:tblPr>
        <w:tblStyle w:val="TableGrid"/>
        <w:tblW w:type="auto" w:w="0"/>
        <w:tblLook w:firstColumn="1" w:firstRow="1" w:lastColumn="0" w:lastRow="0" w:noHBand="0" w:noVBand="1" w:val="04A0"/>
      </w:tblPr>
      <w:tblGrid>
        <w:gridCol w:w="9638"/>
      </w:tblGrid>
      <w:tr>
        <w:tc>
          <w:tcPr>
            <w:tcW w:type="dxa" w:w="9638"/>
            <w:shd w:val="clear" w:color="auto" w:fill="1B4332"/>
          </w:tcPr>
          <w:p>
            <w:pPr>
              <w:spacing w:before="160" w:after="160"/>
            </w:pPr>
            <w:r>
              <w:rPr>
                <w:rFonts w:ascii="Calibri" w:hAnsi="Calibri"/>
                <w:b/>
                <w:color w:val="FFFFFF"/>
                <w:sz w:val="26"/>
              </w:rPr>
              <w:t>10.  References &amp; Recommended Reading</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10.1  Works by Prof. Dr. A B Shrivastava</w:t>
            </w:r>
          </w:p>
        </w:tc>
      </w:tr>
    </w:tbl>
    <w:p>
      <w:pPr>
        <w:spacing w:after="40"/>
      </w:pPr>
    </w:p>
    <w:p>
      <w:pPr>
        <w:spacing w:after="40"/>
        <w:ind w:left="283" w:hanging="170"/>
      </w:pPr>
      <w:r>
        <w:rPr>
          <w:rFonts w:ascii="Calibri" w:hAnsi="Calibri"/>
          <w:color w:val="1A1A1A"/>
          <w:sz w:val="19"/>
        </w:rPr>
        <w:t>•  Shrivastav AB (2010). Management of Hydrocyanic Acid Poisoning in Asian Elephants. Zoo Print vol. XXV, 6 June 2010</w:t>
      </w:r>
    </w:p>
    <w:p>
      <w:pPr>
        <w:spacing w:after="40"/>
        <w:ind w:left="283" w:hanging="170"/>
      </w:pPr>
      <w:r>
        <w:rPr>
          <w:rFonts w:ascii="Calibri" w:hAnsi="Calibri"/>
          <w:color w:val="1A1A1A"/>
          <w:sz w:val="19"/>
        </w:rPr>
        <w:t>•  Shrivastav AB &amp; Sharma RK (2008). A Manual of Wildlife Health Management in Protected Areas. CVAH, JNKVV, Jabalpur</w:t>
      </w:r>
    </w:p>
    <w:p>
      <w:pPr>
        <w:spacing w:after="40"/>
        <w:ind w:left="283" w:hanging="170"/>
      </w:pPr>
      <w:r>
        <w:rPr>
          <w:rFonts w:ascii="Calibri" w:hAnsi="Calibri"/>
          <w:color w:val="1A1A1A"/>
          <w:sz w:val="19"/>
        </w:rPr>
        <w:t>•  Nigam P, Habib J &amp; Pandey H (Ed.) (2021). Caring for Elephants: Managing Health &amp; Welfare in Captivity</w:t>
      </w:r>
    </w:p>
    <w:p>
      <w:pPr>
        <w:spacing w:after="40"/>
        <w:ind w:left="283" w:hanging="170"/>
      </w:pPr>
      <w:r>
        <w:rPr>
          <w:rFonts w:ascii="Calibri" w:hAnsi="Calibri"/>
          <w:color w:val="1A1A1A"/>
          <w:sz w:val="19"/>
        </w:rPr>
        <w:t>•  MoEFCC/WII (2020). Necropsy and Carcass Disposal of Asian Elephant: Recommended Operating Procedure</w:t>
      </w:r>
    </w:p>
    <w:tbl>
      <w:tblPr>
        <w:tblStyle w:val="TableGrid"/>
        <w:tblW w:type="auto" w:w="0"/>
        <w:tblLook w:firstColumn="1" w:firstRow="1" w:lastColumn="0" w:lastRow="0" w:noHBand="0" w:noVBand="1" w:val="04A0"/>
      </w:tblPr>
      <w:tblGrid>
        <w:gridCol w:w="9638"/>
      </w:tblGrid>
      <w:tr>
        <w:tc>
          <w:tcPr>
            <w:tcW w:type="dxa" w:w="9638"/>
            <w:shd w:val="clear" w:color="auto" w:fill="2D6A4F"/>
          </w:tcPr>
          <w:p>
            <w:pPr>
              <w:spacing w:before="80" w:after="80"/>
            </w:pPr>
            <w:r>
              <w:rPr>
                <w:rFonts w:ascii="Calibri" w:hAnsi="Calibri"/>
                <w:b/>
                <w:color w:val="FFFFFF"/>
                <w:sz w:val="21"/>
              </w:rPr>
              <w:t>10.2  Peer-Reviewed &amp; Reference Literature</w:t>
            </w:r>
          </w:p>
        </w:tc>
      </w:tr>
    </w:tbl>
    <w:p>
      <w:pPr>
        <w:spacing w:after="40"/>
      </w:pPr>
    </w:p>
    <w:p>
      <w:pPr>
        <w:spacing w:after="40"/>
        <w:ind w:left="283" w:hanging="170"/>
      </w:pPr>
      <w:r>
        <w:rPr>
          <w:rFonts w:ascii="Calibri" w:hAnsi="Calibri"/>
          <w:color w:val="1A1A1A"/>
          <w:sz w:val="19"/>
        </w:rPr>
        <w:t>•  Radostits OM, Blood DC &amp; Gay CC (1994/2007). Veterinary Medicine: A Textbook of the Diseases of Cattle, Sheep, Pigs, Goats and Horses. ELBS/Tindall</w:t>
      </w:r>
    </w:p>
    <w:p>
      <w:pPr>
        <w:spacing w:after="40"/>
        <w:ind w:left="283" w:hanging="170"/>
      </w:pPr>
      <w:r>
        <w:rPr>
          <w:rFonts w:ascii="Calibri" w:hAnsi="Calibri"/>
          <w:color w:val="1A1A1A"/>
          <w:sz w:val="19"/>
        </w:rPr>
        <w:t>•  Fowler ME &amp; Mikota SK (2006). Biology, Medicine and Surgery of Elephants. Blackwell, Iowa</w:t>
      </w:r>
    </w:p>
    <w:p>
      <w:pPr>
        <w:spacing w:after="40"/>
        <w:ind w:left="283" w:hanging="170"/>
      </w:pPr>
      <w:r>
        <w:rPr>
          <w:rFonts w:ascii="Calibri" w:hAnsi="Calibri"/>
          <w:color w:val="1A1A1A"/>
          <w:sz w:val="19"/>
        </w:rPr>
        <w:t>•  WTI (Wildlife Trust of India). Elephant Mortality Database — poisoning records 1997–2005</w:t>
      </w:r>
    </w:p>
    <w:p>
      <w:pPr>
        <w:spacing w:after="40"/>
        <w:ind w:left="283" w:hanging="170"/>
      </w:pPr>
      <w:r>
        <w:rPr>
          <w:rFonts w:ascii="Calibri" w:hAnsi="Calibri"/>
          <w:color w:val="1A1A1A"/>
          <w:sz w:val="19"/>
        </w:rPr>
        <w:t>•  Bengis RG et al. (2004). The role of wildlife in emerging and re-emerging zoonoses. Rev Sci Tech OIE</w:t>
      </w:r>
    </w:p>
    <w:p>
      <w:pPr>
        <w:spacing w:after="40"/>
        <w:ind w:left="283" w:hanging="170"/>
      </w:pPr>
      <w:r>
        <w:rPr>
          <w:rFonts w:ascii="Calibri" w:hAnsi="Calibri"/>
          <w:color w:val="1A1A1A"/>
          <w:sz w:val="19"/>
        </w:rPr>
        <w:t>•  Wang DZ (2008). Neurotoxins from marine and freshwater algae. Marine Drugs 6(2): 349–371</w:t>
      </w:r>
    </w:p>
    <w:p>
      <w:pPr>
        <w:spacing w:after="40"/>
        <w:ind w:left="283" w:hanging="170"/>
      </w:pPr>
      <w:r>
        <w:rPr>
          <w:rFonts w:ascii="Calibri" w:hAnsi="Calibri"/>
          <w:color w:val="1A1A1A"/>
          <w:sz w:val="19"/>
        </w:rPr>
        <w:t>•  Reference intervals for haematology &amp; biochemistry in Indian elephants (Elephas maximus indicus) under human care (2025). Frontiers in Veterinary Science 12: 1602296 (PMC12301552)</w:t>
      </w:r>
    </w:p>
    <w:p>
      <w:pPr>
        <w:spacing w:after="40"/>
        <w:ind w:left="283" w:hanging="170"/>
      </w:pPr>
      <w:r>
        <w:rPr>
          <w:rFonts w:ascii="Calibri" w:hAnsi="Calibri"/>
          <w:color w:val="1A1A1A"/>
          <w:sz w:val="19"/>
        </w:rPr>
        <w:t>•  Schulze C, Peters M, Baumgärtner W, Wohlsein P (2016). Electrical Injuries in Animals: Causes, Pathogenesis, and Morphological Findings. Veterinary Pathology 53(5): 1018–1037</w:t>
      </w:r>
    </w:p>
    <w:p>
      <w:pPr>
        <w:spacing w:after="40"/>
        <w:ind w:left="283" w:hanging="170"/>
      </w:pPr>
      <w:r>
        <w:rPr>
          <w:rFonts w:ascii="Calibri" w:hAnsi="Calibri"/>
          <w:color w:val="1A1A1A"/>
          <w:sz w:val="19"/>
        </w:rPr>
        <w:t>•  Agnew DW, Munson L, Ramsay EC (2004). Cystic Endometrial Hyperplasia in Elephants. Veterinary Pathology 41(2): 179–183</w:t>
      </w:r>
    </w:p>
    <w:p>
      <w:pPr>
        <w:spacing w:after="40"/>
        <w:ind w:left="283" w:hanging="170"/>
      </w:pPr>
      <w:r>
        <w:rPr>
          <w:rFonts w:ascii="Calibri" w:hAnsi="Calibri"/>
          <w:color w:val="1A1A1A"/>
          <w:sz w:val="19"/>
        </w:rPr>
        <w:t>•  Hermes R, Hildebrandt TB, Göritz F (2004). Asymmetric reproductive aging in long-term captivity. Animal Reproduction Science 82–83: 49–60</w:t>
      </w:r>
    </w:p>
    <w:p>
      <w:pPr>
        <w:spacing w:after="40"/>
        <w:ind w:left="283" w:hanging="170"/>
      </w:pPr>
      <w:r>
        <w:rPr>
          <w:rFonts w:ascii="Calibri" w:hAnsi="Calibri"/>
          <w:color w:val="1A1A1A"/>
          <w:sz w:val="19"/>
        </w:rPr>
        <w:t>•  Landolfi JA et al. (2021). Reproductive Tract Neoplasia in Adult Female Asian Elephants. Veterinary Pathology 58(6)</w:t>
      </w:r>
    </w:p>
    <w:p>
      <w:pPr>
        <w:spacing w:after="40"/>
        <w:ind w:left="283" w:hanging="170"/>
      </w:pPr>
      <w:r>
        <w:rPr>
          <w:rFonts w:ascii="Calibri" w:hAnsi="Calibri"/>
          <w:color w:val="1A1A1A"/>
          <w:sz w:val="19"/>
        </w:rPr>
        <w:t>•  Dunkin RC et al. (2013). Climate influences thermal balance and water use in elephants. Journal of Experimental Biology 216: 2939–2952</w:t>
      </w:r>
    </w:p>
    <w:p>
      <w:pPr>
        <w:spacing w:after="40"/>
        <w:ind w:left="283" w:hanging="170"/>
      </w:pPr>
      <w:r>
        <w:rPr>
          <w:rFonts w:ascii="Calibri" w:hAnsi="Calibri"/>
          <w:color w:val="1A1A1A"/>
          <w:sz w:val="19"/>
        </w:rPr>
        <w:t>•  Martins AF et al. (2018). Bending cracks in African elephant skin. Nature Communications 9: 3865</w:t>
      </w:r>
    </w:p>
    <w:p>
      <w:pPr>
        <w:spacing w:after="40"/>
        <w:ind w:left="283" w:hanging="170"/>
      </w:pPr>
      <w:r>
        <w:rPr>
          <w:rFonts w:ascii="Calibri" w:hAnsi="Calibri"/>
          <w:color w:val="1A1A1A"/>
          <w:sz w:val="19"/>
        </w:rPr>
        <w:t>•  Rowe MF et al. (2013). Heat storage in Asian elephants during submaximal exercise. J Exp Biology 216: 1774–1785</w:t>
      </w:r>
    </w:p>
    <w:p>
      <w:pPr>
        <w:spacing w:after="40"/>
        <w:ind w:left="283" w:hanging="170"/>
      </w:pPr>
      <w:r>
        <w:rPr>
          <w:rFonts w:ascii="Calibri" w:hAnsi="Calibri"/>
          <w:color w:val="1A1A1A"/>
          <w:sz w:val="19"/>
        </w:rPr>
        <w:t>•  Mahato G et al. (2021). Heavy metal toxicosis in wild and captive elephants — review. Indian Journal of Veterinary Pathology</w:t>
      </w:r>
    </w:p>
    <w:p>
      <w:pPr>
        <w:spacing w:after="40"/>
        <w:ind w:left="283" w:hanging="170"/>
      </w:pPr>
      <w:r>
        <w:rPr>
          <w:rFonts w:ascii="Calibri" w:hAnsi="Calibri"/>
          <w:color w:val="1A1A1A"/>
          <w:sz w:val="19"/>
        </w:rPr>
        <w:t>•  Lok Sabha Unstarred Question reply (July 2024). Elephant deaths from unnatural causes 2019–2024. MoEFCC, Government of India</w:t>
      </w:r>
    </w:p>
    <w:p>
      <w:pPr>
        <w:spacing w:after="40"/>
        <w:ind w:left="283" w:hanging="170"/>
      </w:pPr>
      <w:r>
        <w:rPr>
          <w:rFonts w:ascii="Calibri" w:hAnsi="Calibri"/>
          <w:color w:val="1A1A1A"/>
          <w:sz w:val="19"/>
        </w:rPr>
        <w:t>•  Karnataka High Court (2025). Suo Motu W.P. on elephant electrocution ("Ashwathamma" case) — power-line management directions</w:t>
      </w:r>
    </w:p>
    <w:p>
      <w:pPr>
        <w:spacing w:after="40"/>
        <w:ind w:left="283" w:hanging="170"/>
      </w:pPr>
      <w:r>
        <w:rPr>
          <w:rFonts w:ascii="Calibri" w:hAnsi="Calibri"/>
          <w:color w:val="1A1A1A"/>
          <w:sz w:val="19"/>
        </w:rPr>
        <w:t>•  Project Elephant, MoEFCC (2017). Gajah: Securing the Future for Elephants in India</w:t>
      </w:r>
    </w:p>
    <w:p>
      <w:pPr>
        <w:spacing w:after="80"/>
        <w:jc w:val="center"/>
      </w:pPr>
      <w:r>
        <w:rPr>
          <w:rFonts w:ascii="Calibri" w:hAnsi="Calibri"/>
          <w:b w:val="0"/>
          <w:i/>
          <w:color w:val="555555"/>
          <w:sz w:val="16"/>
        </w:rPr>
        <w:t>Notes prepared from the presentation of Prof. Dr. A B Shrivastava (06-06-2026), elaborated with peer-reviewed literature and current guidelines. Training Program: Essentials for Mortality Investigation of Asian Elephant, Chhattisgarh Forest Department, 5–6 June 2026, Raigarh.</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Non-Infectious Pathology in Asian Elephants — Prof. Dr. A B Shrivastava</dc:title>
  <dc:subject/>
  <dc:creator>Prof. Dr. A B Shrivastava, NDVSU Jabalpur</dc:creator>
  <cp:keywords/>
  <dc:description>generated by python-docx</dc:description>
  <cp:lastModifiedBy/>
  <cp:revision>1</cp:revision>
  <dcterms:created xsi:type="dcterms:W3CDTF">2013-12-23T23:15:00Z</dcterms:created>
  <dcterms:modified xsi:type="dcterms:W3CDTF">2013-12-23T23:15:00Z</dcterms:modified>
  <cp:category/>
</cp:coreProperties>
</file>