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B4332"/>
          </w:tcPr>
          <w:p>
            <w:pPr>
              <w:pStyle w:val="WS_Title"/>
              <w:spacing w:before="120" w:after="120"/>
            </w:pPr>
            <w:r>
              <w:rPr>
                <w:color w:val="52B788"/>
                <w:sz w:val="16"/>
              </w:rPr>
              <w:t>CHAPTER 3</w:t>
            </w:r>
            <w:r>
              <w:br/>
            </w:r>
            <w:r>
              <w:rPr>
                <w:b/>
                <w:color w:val="FFFFFF"/>
                <w:sz w:val="32"/>
              </w:rPr>
              <w:t>Infectious Diseases of Asian Elephants</w:t>
            </w:r>
            <w:r>
              <w:br/>
            </w:r>
            <w:r>
              <w:rPr>
                <w:i/>
                <w:color w:val="D8F3DC"/>
                <w:sz w:val="19"/>
              </w:rPr>
              <w:t>Aetiology, Pathology, Diagnosis &amp; Control</w:t>
            </w:r>
            <w:r>
              <w:br/>
              <w:br/>
            </w:r>
            <w:r>
              <w:rPr>
                <w:color w:val="D8F3DC"/>
                <w:sz w:val="17"/>
              </w:rPr>
              <w:t>Dr. M. Karikalan  |  ICAR-IVRI, Bareilly</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1. Introduction — Disease Burden in Asian Elephants</w:t>
            </w:r>
          </w:p>
        </w:tc>
      </w:tr>
    </w:tbl>
    <w:p/>
    <w:p>
      <w:pPr>
        <w:pStyle w:val="WS_Body"/>
      </w:pPr>
      <w:r>
        <w:t>Infectious diseases pose a significant and growing threat to Asian elephant conservation. Both captive and wild populations face risks from viral, bacterial, and parasitic pathogens. Many diseases are zoonotic, posing risks to handlers and veterinary staff. Systematic necropsy, sampling, and laboratory diagnosis are essential for identifying and managing these threats.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2. Viral Diseases</w:t>
            </w:r>
          </w:p>
        </w:tc>
      </w:tr>
    </w:tbl>
    <w:p/>
    <w:p>
      <w:pPr>
        <w:pStyle w:val="WS_H2"/>
        <w:ind w:left="170"/>
      </w:pPr>
      <w:r>
        <w:rPr>
          <w:b/>
          <w:color w:val="2D6A4F"/>
        </w:rPr>
        <w:t>A. Elephant Endotheliotropic Herpesvirus (EEHV) — MOST FATAL</w:t>
      </w:r>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EEHV is the leading infectious cause of death in captive Asian elephant calves worldwide. Mortality rate &gt;85% once clinical signs appear. Targets calves 1–8 years of age.</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EEHV1A, 1B, 4, 5, 6 (subfamily Betaherpesviridae; genus Proboscivirus)</w:t>
            </w:r>
          </w:p>
        </w:tc>
      </w:tr>
      <w:tr>
        <w:tc>
          <w:tcPr>
            <w:tcW w:type="dxa" w:w="2268"/>
            <w:shd w:val="clear" w:color="auto" w:fill="EAF7EE"/>
          </w:tcPr>
          <w:p>
            <w:pPr>
              <w:pStyle w:val="WS_TD"/>
              <w:spacing w:before="40" w:after="40"/>
            </w:pPr>
            <w:r>
              <w:t>Host</w:t>
            </w:r>
          </w:p>
        </w:tc>
        <w:tc>
          <w:tcPr>
            <w:tcW w:type="dxa" w:w="7370"/>
            <w:shd w:val="clear" w:color="auto" w:fill="EAF7EE"/>
          </w:tcPr>
          <w:p>
            <w:pPr>
              <w:pStyle w:val="WS_TD"/>
              <w:spacing w:before="40" w:after="40"/>
            </w:pPr>
            <w:r>
              <w:t>Asian elephants primarily; latent in adults; lethal in calves</w:t>
            </w:r>
          </w:p>
        </w:tc>
      </w:tr>
      <w:tr>
        <w:tc>
          <w:tcPr>
            <w:tcW w:type="dxa" w:w="2268"/>
            <w:shd w:val="clear" w:color="auto" w:fill="FFFFFF"/>
          </w:tcPr>
          <w:p>
            <w:pPr>
              <w:pStyle w:val="WS_TD"/>
              <w:spacing w:before="40" w:after="40"/>
            </w:pPr>
            <w:r>
              <w:t>Age Group</w:t>
            </w:r>
          </w:p>
        </w:tc>
        <w:tc>
          <w:tcPr>
            <w:tcW w:type="dxa" w:w="7370"/>
            <w:shd w:val="clear" w:color="auto" w:fill="FFFFFF"/>
          </w:tcPr>
          <w:p>
            <w:pPr>
              <w:pStyle w:val="WS_TD"/>
              <w:spacing w:before="40" w:after="40"/>
            </w:pPr>
            <w:r>
              <w:t>Calves 1–8 years most susceptible; adults are asymptomatic carriers</w:t>
            </w:r>
          </w:p>
        </w:tc>
      </w:tr>
      <w:tr>
        <w:tc>
          <w:tcPr>
            <w:tcW w:type="dxa" w:w="2268"/>
            <w:shd w:val="clear" w:color="auto" w:fill="EAF7EE"/>
          </w:tcPr>
          <w:p>
            <w:pPr>
              <w:pStyle w:val="WS_TD"/>
              <w:spacing w:before="40" w:after="40"/>
            </w:pPr>
            <w:r>
              <w:t>Transmission</w:t>
            </w:r>
          </w:p>
        </w:tc>
        <w:tc>
          <w:tcPr>
            <w:tcW w:type="dxa" w:w="7370"/>
            <w:shd w:val="clear" w:color="auto" w:fill="EAF7EE"/>
          </w:tcPr>
          <w:p>
            <w:pPr>
              <w:pStyle w:val="WS_TD"/>
              <w:spacing w:before="40" w:after="40"/>
            </w:pPr>
            <w:r>
              <w:t>Direct contact with oral secretions; adult-to-calf transmission likely</w:t>
            </w:r>
          </w:p>
        </w:tc>
      </w:tr>
      <w:tr>
        <w:tc>
          <w:tcPr>
            <w:tcW w:type="dxa" w:w="2268"/>
            <w:shd w:val="clear" w:color="auto" w:fill="FFFFFF"/>
          </w:tcPr>
          <w:p>
            <w:pPr>
              <w:pStyle w:val="WS_TD"/>
              <w:spacing w:before="40" w:after="40"/>
            </w:pPr>
            <w:r>
              <w:t>Incubation</w:t>
            </w:r>
          </w:p>
        </w:tc>
        <w:tc>
          <w:tcPr>
            <w:tcW w:type="dxa" w:w="7370"/>
            <w:shd w:val="clear" w:color="auto" w:fill="FFFFFF"/>
          </w:tcPr>
          <w:p>
            <w:pPr>
              <w:pStyle w:val="WS_TD"/>
              <w:spacing w:before="40" w:after="40"/>
            </w:pPr>
            <w:r>
              <w:t>Days to weeks; rapid progression once clinical</w:t>
            </w:r>
          </w:p>
        </w:tc>
      </w:tr>
      <w:tr>
        <w:tc>
          <w:tcPr>
            <w:tcW w:type="dxa" w:w="2268"/>
            <w:shd w:val="clear" w:color="auto" w:fill="EAF7EE"/>
          </w:tcPr>
          <w:p>
            <w:pPr>
              <w:pStyle w:val="WS_TD"/>
              <w:spacing w:before="40" w:after="40"/>
            </w:pPr>
            <w:r>
              <w:t>Pathogenesis</w:t>
            </w:r>
          </w:p>
        </w:tc>
        <w:tc>
          <w:tcPr>
            <w:tcW w:type="dxa" w:w="7370"/>
            <w:shd w:val="clear" w:color="auto" w:fill="EAF7EE"/>
          </w:tcPr>
          <w:p>
            <w:pPr>
              <w:pStyle w:val="WS_TD"/>
              <w:spacing w:before="40" w:after="40"/>
            </w:pPr>
            <w:r>
              <w:t>Vascular endothelial tropism → haemorrhagic disease → DIC → shock</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Sudden lethargy, oedema (head/neck/limbs), cyanotic tongue, haemorrhagic discharge</w:t>
            </w:r>
          </w:p>
        </w:tc>
      </w:tr>
      <w:tr>
        <w:tc>
          <w:tcPr>
            <w:tcW w:type="dxa" w:w="2268"/>
            <w:shd w:val="clear" w:color="auto" w:fill="EAF7EE"/>
          </w:tcPr>
          <w:p>
            <w:pPr>
              <w:pStyle w:val="WS_TD"/>
              <w:spacing w:before="40" w:after="40"/>
            </w:pPr>
            <w:r>
              <w:t>Gross PM Lesions</w:t>
            </w:r>
          </w:p>
        </w:tc>
        <w:tc>
          <w:tcPr>
            <w:tcW w:type="dxa" w:w="7370"/>
            <w:shd w:val="clear" w:color="auto" w:fill="EAF7EE"/>
          </w:tcPr>
          <w:p>
            <w:pPr>
              <w:pStyle w:val="WS_TD"/>
              <w:spacing w:before="40" w:after="40"/>
            </w:pPr>
            <w:r>
              <w:t>Generalised haemorrhage, oedema, hepatomegaly, splenomegaly, myocarditis</w:t>
            </w:r>
          </w:p>
        </w:tc>
      </w:tr>
      <w:tr>
        <w:tc>
          <w:tcPr>
            <w:tcW w:type="dxa" w:w="2268"/>
            <w:shd w:val="clear" w:color="auto" w:fill="FFFFFF"/>
          </w:tcPr>
          <w:p>
            <w:pPr>
              <w:pStyle w:val="WS_TD"/>
              <w:spacing w:before="40" w:after="40"/>
            </w:pPr>
            <w:r>
              <w:t>Histopathology</w:t>
            </w:r>
          </w:p>
        </w:tc>
        <w:tc>
          <w:tcPr>
            <w:tcW w:type="dxa" w:w="7370"/>
            <w:shd w:val="clear" w:color="auto" w:fill="FFFFFF"/>
          </w:tcPr>
          <w:p>
            <w:pPr>
              <w:pStyle w:val="WS_TD"/>
              <w:spacing w:before="40" w:after="40"/>
            </w:pPr>
            <w:r>
              <w:t>Herpesviral intranuclear inclusions in endothelial cells of blood vessels</w:t>
            </w:r>
          </w:p>
        </w:tc>
      </w:tr>
      <w:tr>
        <w:tc>
          <w:tcPr>
            <w:tcW w:type="dxa" w:w="2268"/>
            <w:shd w:val="clear" w:color="auto" w:fill="EAF7EE"/>
          </w:tcPr>
          <w:p>
            <w:pPr>
              <w:pStyle w:val="WS_TD"/>
              <w:spacing w:before="40" w:after="40"/>
            </w:pPr>
            <w:r>
              <w:t>Diagnosis</w:t>
            </w:r>
          </w:p>
        </w:tc>
        <w:tc>
          <w:tcPr>
            <w:tcW w:type="dxa" w:w="7370"/>
            <w:shd w:val="clear" w:color="auto" w:fill="EAF7EE"/>
          </w:tcPr>
          <w:p>
            <w:pPr>
              <w:pStyle w:val="WS_TD"/>
              <w:spacing w:before="40" w:after="40"/>
            </w:pPr>
            <w:r>
              <w:t>PCR on EDTA blood/trunk secretions; qPCR for quantification; IHC on tissue</w:t>
            </w:r>
          </w:p>
        </w:tc>
      </w:tr>
      <w:tr>
        <w:tc>
          <w:tcPr>
            <w:tcW w:type="dxa" w:w="2268"/>
            <w:shd w:val="clear" w:color="auto" w:fill="FFFFFF"/>
          </w:tcPr>
          <w:p>
            <w:pPr>
              <w:pStyle w:val="WS_TD"/>
              <w:spacing w:before="40" w:after="40"/>
            </w:pPr>
            <w:r>
              <w:t>Treatment</w:t>
            </w:r>
          </w:p>
        </w:tc>
        <w:tc>
          <w:tcPr>
            <w:tcW w:type="dxa" w:w="7370"/>
            <w:shd w:val="clear" w:color="auto" w:fill="FFFFFF"/>
          </w:tcPr>
          <w:p>
            <w:pPr>
              <w:pStyle w:val="WS_TD"/>
              <w:spacing w:before="40" w:after="40"/>
            </w:pPr>
            <w:r>
              <w:t>Famciclovir (antiviral); supportive care; early diagnosis critical</w:t>
            </w:r>
          </w:p>
        </w:tc>
      </w:tr>
      <w:tr>
        <w:tc>
          <w:tcPr>
            <w:tcW w:type="dxa" w:w="2268"/>
            <w:shd w:val="clear" w:color="auto" w:fill="EAF7EE"/>
          </w:tcPr>
          <w:p>
            <w:pPr>
              <w:pStyle w:val="WS_TD"/>
              <w:spacing w:before="40" w:after="40"/>
            </w:pPr>
            <w:r>
              <w:t>Prevention</w:t>
            </w:r>
          </w:p>
        </w:tc>
        <w:tc>
          <w:tcPr>
            <w:tcW w:type="dxa" w:w="7370"/>
            <w:shd w:val="clear" w:color="auto" w:fill="EAF7EE"/>
          </w:tcPr>
          <w:p>
            <w:pPr>
              <w:pStyle w:val="WS_TD"/>
              <w:spacing w:before="40" w:after="40"/>
            </w:pPr>
            <w:r>
              <w:t>Regular PCR screening of calves; isolation of sick animals; hygiene protocols</w:t>
            </w:r>
          </w:p>
        </w:tc>
      </w:tr>
      <w:tr>
        <w:tc>
          <w:tcPr>
            <w:tcW w:type="dxa" w:w="2268"/>
            <w:shd w:val="clear" w:color="auto" w:fill="FFFFFF"/>
          </w:tcPr>
          <w:p>
            <w:pPr>
              <w:pStyle w:val="WS_TD"/>
              <w:spacing w:before="40" w:after="40"/>
            </w:pPr>
            <w:r>
              <w:t>Surveillance in CG</w:t>
            </w:r>
          </w:p>
        </w:tc>
        <w:tc>
          <w:tcPr>
            <w:tcW w:type="dxa" w:w="7370"/>
            <w:shd w:val="clear" w:color="auto" w:fill="FFFFFF"/>
          </w:tcPr>
          <w:p>
            <w:pPr>
              <w:pStyle w:val="WS_TD"/>
              <w:spacing w:before="40" w:after="40"/>
            </w:pPr>
            <w:r>
              <w:t>EEHV tested: NEGATIVE in all 13 drowning deaths (2021–2026)</w:t>
            </w:r>
          </w:p>
        </w:tc>
      </w:tr>
    </w:tbl>
    <w:p/>
    <w:p>
      <w:pPr>
        <w:pStyle w:val="WS_H2"/>
        <w:ind w:left="170"/>
      </w:pPr>
      <w:r>
        <w:rPr>
          <w:b/>
          <w:color w:val="2D6A4F"/>
        </w:rPr>
        <w:t>B. Elephant Pox (Parapoxvirus / PCPV)</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Parapoxvirus (PCPV — Pseudocowpox Virus); Orthopoxvirus (rare)</w:t>
            </w:r>
          </w:p>
        </w:tc>
      </w:tr>
      <w:tr>
        <w:tc>
          <w:tcPr>
            <w:tcW w:type="dxa" w:w="2268"/>
            <w:shd w:val="clear" w:color="auto" w:fill="EAF7EE"/>
          </w:tcPr>
          <w:p>
            <w:pPr>
              <w:pStyle w:val="WS_TD"/>
              <w:spacing w:before="40" w:after="40"/>
            </w:pPr>
            <w:r>
              <w:t>Presentation</w:t>
            </w:r>
          </w:p>
        </w:tc>
        <w:tc>
          <w:tcPr>
            <w:tcW w:type="dxa" w:w="7370"/>
            <w:shd w:val="clear" w:color="auto" w:fill="EAF7EE"/>
          </w:tcPr>
          <w:p>
            <w:pPr>
              <w:pStyle w:val="WS_TD"/>
              <w:spacing w:before="40" w:after="40"/>
            </w:pPr>
            <w:r>
              <w:t>Nodular/pustular lesions on trunk, mouth, genitalia, skin</w:t>
            </w:r>
          </w:p>
        </w:tc>
      </w:tr>
      <w:tr>
        <w:tc>
          <w:tcPr>
            <w:tcW w:type="dxa" w:w="2268"/>
            <w:shd w:val="clear" w:color="auto" w:fill="FFFFFF"/>
          </w:tcPr>
          <w:p>
            <w:pPr>
              <w:pStyle w:val="WS_TD"/>
              <w:spacing w:before="40" w:after="40"/>
            </w:pPr>
            <w:r>
              <w:t>Zoonotic Risk</w:t>
            </w:r>
          </w:p>
        </w:tc>
        <w:tc>
          <w:tcPr>
            <w:tcW w:type="dxa" w:w="7370"/>
            <w:shd w:val="clear" w:color="auto" w:fill="FFFFFF"/>
          </w:tcPr>
          <w:p>
            <w:pPr>
              <w:pStyle w:val="WS_TD"/>
              <w:spacing w:before="40" w:after="40"/>
            </w:pPr>
            <w:r>
              <w:t>YES — handlers can develop nodular lesions on hands; PPE mandatory</w:t>
            </w:r>
          </w:p>
        </w:tc>
      </w:tr>
      <w:tr>
        <w:tc>
          <w:tcPr>
            <w:tcW w:type="dxa" w:w="2268"/>
            <w:shd w:val="clear" w:color="auto" w:fill="EAF7EE"/>
          </w:tcPr>
          <w:p>
            <w:pPr>
              <w:pStyle w:val="WS_TD"/>
              <w:spacing w:before="40" w:after="40"/>
            </w:pPr>
            <w:r>
              <w:t>Diagnosis</w:t>
            </w:r>
          </w:p>
        </w:tc>
        <w:tc>
          <w:tcPr>
            <w:tcW w:type="dxa" w:w="7370"/>
            <w:shd w:val="clear" w:color="auto" w:fill="EAF7EE"/>
          </w:tcPr>
          <w:p>
            <w:pPr>
              <w:pStyle w:val="WS_TD"/>
              <w:spacing w:before="40" w:after="40"/>
            </w:pPr>
            <w:r>
              <w:t>Lesion scraping for EM/PCR; Orthopox can be diagnosed by IHC</w:t>
            </w:r>
          </w:p>
        </w:tc>
      </w:tr>
      <w:tr>
        <w:tc>
          <w:tcPr>
            <w:tcW w:type="dxa" w:w="2268"/>
            <w:shd w:val="clear" w:color="auto" w:fill="FFFFFF"/>
          </w:tcPr>
          <w:p>
            <w:pPr>
              <w:pStyle w:val="WS_TD"/>
              <w:spacing w:before="40" w:after="40"/>
            </w:pPr>
            <w:r>
              <w:t>Treatment</w:t>
            </w:r>
          </w:p>
        </w:tc>
        <w:tc>
          <w:tcPr>
            <w:tcW w:type="dxa" w:w="7370"/>
            <w:shd w:val="clear" w:color="auto" w:fill="FFFFFF"/>
          </w:tcPr>
          <w:p>
            <w:pPr>
              <w:pStyle w:val="WS_TD"/>
              <w:spacing w:before="40" w:after="40"/>
            </w:pPr>
            <w:r>
              <w:t>Supportive; secondary bacterial infections require antibiotics</w:t>
            </w:r>
          </w:p>
        </w:tc>
      </w:tr>
      <w:tr>
        <w:tc>
          <w:tcPr>
            <w:tcW w:type="dxa" w:w="2268"/>
            <w:shd w:val="clear" w:color="auto" w:fill="EAF7EE"/>
          </w:tcPr>
          <w:p>
            <w:pPr>
              <w:pStyle w:val="WS_TD"/>
              <w:spacing w:before="40" w:after="40"/>
            </w:pPr>
            <w:r>
              <w:t>PM Importance</w:t>
            </w:r>
          </w:p>
        </w:tc>
        <w:tc>
          <w:tcPr>
            <w:tcW w:type="dxa" w:w="7370"/>
            <w:shd w:val="clear" w:color="auto" w:fill="EAF7EE"/>
          </w:tcPr>
          <w:p>
            <w:pPr>
              <w:pStyle w:val="WS_TD"/>
              <w:spacing w:before="40" w:after="40"/>
            </w:pPr>
            <w:r>
              <w:t>Pox lesions noted during external examination; samples for PCR/EM</w:t>
            </w:r>
          </w:p>
        </w:tc>
      </w:tr>
    </w:tbl>
    <w:p/>
    <w:p>
      <w:pPr>
        <w:pStyle w:val="WS_H2"/>
        <w:ind w:left="170"/>
      </w:pPr>
      <w:r>
        <w:rPr>
          <w:b/>
          <w:color w:val="2D6A4F"/>
        </w:rPr>
        <w:t>C. Encephalomyocarditis Virus (EMCV)</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Encephalomyocarditis Virus (Cardiovirus, Picornaviridae)</w:t>
            </w:r>
          </w:p>
        </w:tc>
      </w:tr>
      <w:tr>
        <w:tc>
          <w:tcPr>
            <w:tcW w:type="dxa" w:w="2268"/>
            <w:shd w:val="clear" w:color="auto" w:fill="EAF7EE"/>
          </w:tcPr>
          <w:p>
            <w:pPr>
              <w:pStyle w:val="WS_TD"/>
              <w:spacing w:before="40" w:after="40"/>
            </w:pPr>
            <w:r>
              <w:t>Reservoir</w:t>
            </w:r>
          </w:p>
        </w:tc>
        <w:tc>
          <w:tcPr>
            <w:tcW w:type="dxa" w:w="7370"/>
            <w:shd w:val="clear" w:color="auto" w:fill="EAF7EE"/>
          </w:tcPr>
          <w:p>
            <w:pPr>
              <w:pStyle w:val="WS_TD"/>
              <w:spacing w:before="40" w:after="40"/>
            </w:pPr>
            <w:r>
              <w:t>Rodents (rats, mice) — primary reservoir; contaminated feed/water</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Sudden death; cardiac failure; neurological signs; myocarditis</w:t>
            </w:r>
          </w:p>
        </w:tc>
      </w:tr>
      <w:tr>
        <w:tc>
          <w:tcPr>
            <w:tcW w:type="dxa" w:w="2268"/>
            <w:shd w:val="clear" w:color="auto" w:fill="EAF7EE"/>
          </w:tcPr>
          <w:p>
            <w:pPr>
              <w:pStyle w:val="WS_TD"/>
              <w:spacing w:before="40" w:after="40"/>
            </w:pPr>
            <w:r>
              <w:t>PM Lesions</w:t>
            </w:r>
          </w:p>
        </w:tc>
        <w:tc>
          <w:tcPr>
            <w:tcW w:type="dxa" w:w="7370"/>
            <w:shd w:val="clear" w:color="auto" w:fill="EAF7EE"/>
          </w:tcPr>
          <w:p>
            <w:pPr>
              <w:pStyle w:val="WS_TD"/>
              <w:spacing w:before="40" w:after="40"/>
            </w:pPr>
            <w:r>
              <w:t>Myocardial necrosis, myocarditis, pulmonary oedema, pericardial effusion</w:t>
            </w:r>
          </w:p>
        </w:tc>
      </w:tr>
      <w:tr>
        <w:tc>
          <w:tcPr>
            <w:tcW w:type="dxa" w:w="2268"/>
            <w:shd w:val="clear" w:color="auto" w:fill="FFFFFF"/>
          </w:tcPr>
          <w:p>
            <w:pPr>
              <w:pStyle w:val="WS_TD"/>
              <w:spacing w:before="40" w:after="40"/>
            </w:pPr>
            <w:r>
              <w:t>Diagnosis</w:t>
            </w:r>
          </w:p>
        </w:tc>
        <w:tc>
          <w:tcPr>
            <w:tcW w:type="dxa" w:w="7370"/>
            <w:shd w:val="clear" w:color="auto" w:fill="FFFFFF"/>
          </w:tcPr>
          <w:p>
            <w:pPr>
              <w:pStyle w:val="WS_TD"/>
              <w:spacing w:before="40" w:after="40"/>
            </w:pPr>
            <w:r>
              <w:t>Virus isolation; PCR; IHC for EMCV antigen in heart tissue</w:t>
            </w:r>
          </w:p>
        </w:tc>
      </w:tr>
      <w:tr>
        <w:tc>
          <w:tcPr>
            <w:tcW w:type="dxa" w:w="2268"/>
            <w:shd w:val="clear" w:color="auto" w:fill="EAF7EE"/>
          </w:tcPr>
          <w:p>
            <w:pPr>
              <w:pStyle w:val="WS_TD"/>
              <w:spacing w:before="40" w:after="40"/>
            </w:pPr>
            <w:r>
              <w:t>Zoonotic Risk</w:t>
            </w:r>
          </w:p>
        </w:tc>
        <w:tc>
          <w:tcPr>
            <w:tcW w:type="dxa" w:w="7370"/>
            <w:shd w:val="clear" w:color="auto" w:fill="EAF7EE"/>
          </w:tcPr>
          <w:p>
            <w:pPr>
              <w:pStyle w:val="WS_TD"/>
              <w:spacing w:before="40" w:after="40"/>
            </w:pPr>
            <w:r>
              <w:t>Low in healthy adults; immunocompromised persons at risk</w:t>
            </w:r>
          </w:p>
        </w:tc>
      </w:tr>
    </w:tbl>
    <w:p/>
    <w:p>
      <w:pPr>
        <w:pStyle w:val="WS_H2"/>
        <w:ind w:left="170"/>
      </w:pPr>
      <w:r>
        <w:rPr>
          <w:b/>
          <w:color w:val="2D6A4F"/>
        </w:rPr>
        <w:t>D. Foot-and-Mouth Disease (FMD)</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Aphthovirus — serotypes O, A, C, SAT1/2/3, Asia1</w:t>
            </w:r>
          </w:p>
        </w:tc>
      </w:tr>
      <w:tr>
        <w:tc>
          <w:tcPr>
            <w:tcW w:type="dxa" w:w="2268"/>
            <w:shd w:val="clear" w:color="auto" w:fill="EAF7EE"/>
          </w:tcPr>
          <w:p>
            <w:pPr>
              <w:pStyle w:val="WS_TD"/>
              <w:spacing w:before="40" w:after="40"/>
            </w:pPr>
            <w:r>
              <w:t>Significance</w:t>
            </w:r>
          </w:p>
        </w:tc>
        <w:tc>
          <w:tcPr>
            <w:tcW w:type="dxa" w:w="7370"/>
            <w:shd w:val="clear" w:color="auto" w:fill="EAF7EE"/>
          </w:tcPr>
          <w:p>
            <w:pPr>
              <w:pStyle w:val="WS_TD"/>
              <w:spacing w:before="40" w:after="40"/>
            </w:pPr>
            <w:r>
              <w:t>Primarily a livestock disease; elephants susceptible — sporadic outbreaks</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Vesicles on feet, trunk, mouth; lameness; reluctance to move; salivation</w:t>
            </w:r>
          </w:p>
        </w:tc>
      </w:tr>
      <w:tr>
        <w:tc>
          <w:tcPr>
            <w:tcW w:type="dxa" w:w="2268"/>
            <w:shd w:val="clear" w:color="auto" w:fill="EAF7EE"/>
          </w:tcPr>
          <w:p>
            <w:pPr>
              <w:pStyle w:val="WS_TD"/>
              <w:spacing w:before="40" w:after="40"/>
            </w:pPr>
            <w:r>
              <w:t>PM Lesions</w:t>
            </w:r>
          </w:p>
        </w:tc>
        <w:tc>
          <w:tcPr>
            <w:tcW w:type="dxa" w:w="7370"/>
            <w:shd w:val="clear" w:color="auto" w:fill="EAF7EE"/>
          </w:tcPr>
          <w:p>
            <w:pPr>
              <w:pStyle w:val="WS_TD"/>
              <w:spacing w:before="40" w:after="40"/>
            </w:pPr>
            <w:r>
              <w:t>Erosions/ulcers on tongue, gums, coronary band of feet</w:t>
            </w:r>
          </w:p>
        </w:tc>
      </w:tr>
      <w:tr>
        <w:tc>
          <w:tcPr>
            <w:tcW w:type="dxa" w:w="2268"/>
            <w:shd w:val="clear" w:color="auto" w:fill="FFFFFF"/>
          </w:tcPr>
          <w:p>
            <w:pPr>
              <w:pStyle w:val="WS_TD"/>
              <w:spacing w:before="40" w:after="40"/>
            </w:pPr>
            <w:r>
              <w:t>Diagnosis</w:t>
            </w:r>
          </w:p>
        </w:tc>
        <w:tc>
          <w:tcPr>
            <w:tcW w:type="dxa" w:w="7370"/>
            <w:shd w:val="clear" w:color="auto" w:fill="FFFFFF"/>
          </w:tcPr>
          <w:p>
            <w:pPr>
              <w:pStyle w:val="WS_TD"/>
              <w:spacing w:before="40" w:after="40"/>
            </w:pPr>
            <w:r>
              <w:t>Vesicular fluid/epithelium for ELISA, PCR, virus isolation</w:t>
            </w:r>
          </w:p>
        </w:tc>
      </w:tr>
      <w:tr>
        <w:tc>
          <w:tcPr>
            <w:tcW w:type="dxa" w:w="2268"/>
            <w:shd w:val="clear" w:color="auto" w:fill="EAF7EE"/>
          </w:tcPr>
          <w:p>
            <w:pPr>
              <w:pStyle w:val="WS_TD"/>
              <w:spacing w:before="40" w:after="40"/>
            </w:pPr>
            <w:r>
              <w:t>Control</w:t>
            </w:r>
          </w:p>
        </w:tc>
        <w:tc>
          <w:tcPr>
            <w:tcW w:type="dxa" w:w="7370"/>
            <w:shd w:val="clear" w:color="auto" w:fill="EAF7EE"/>
          </w:tcPr>
          <w:p>
            <w:pPr>
              <w:pStyle w:val="WS_TD"/>
              <w:spacing w:before="40" w:after="40"/>
            </w:pPr>
            <w:r>
              <w:t>Vaccination in livestock around elephant habitats; movement restriction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3. Bacterial Diseases</w:t>
            </w:r>
          </w:p>
        </w:tc>
      </w:tr>
    </w:tbl>
    <w:p/>
    <w:p>
      <w:pPr>
        <w:pStyle w:val="WS_H2"/>
        <w:ind w:left="170"/>
      </w:pPr>
      <w:r>
        <w:rPr>
          <w:b/>
          <w:color w:val="2D6A4F"/>
        </w:rPr>
        <w:t>A. Tuberculosis (TB) — Mycobacterium tuberculosis</w:t>
      </w:r>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Elephant TB is a ZOONOSIS of highest public health concern. Mahouts, handlers and veterinary staff are at risk of airborne infection from trunk secretions and breath of infected elephants.</w:t>
            </w:r>
          </w:p>
        </w:tc>
      </w:tr>
    </w:tbl>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Mycobacterium tuberculosis (human strain); M. bovis less common</w:t>
            </w:r>
          </w:p>
        </w:tc>
      </w:tr>
      <w:tr>
        <w:tc>
          <w:tcPr>
            <w:tcW w:type="dxa" w:w="2268"/>
            <w:shd w:val="clear" w:color="auto" w:fill="EAF7EE"/>
          </w:tcPr>
          <w:p>
            <w:pPr>
              <w:pStyle w:val="WS_TD"/>
              <w:spacing w:before="40" w:after="40"/>
            </w:pPr>
            <w:r>
              <w:t>Transmission</w:t>
            </w:r>
          </w:p>
        </w:tc>
        <w:tc>
          <w:tcPr>
            <w:tcW w:type="dxa" w:w="7370"/>
            <w:shd w:val="clear" w:color="auto" w:fill="EAF7EE"/>
          </w:tcPr>
          <w:p>
            <w:pPr>
              <w:pStyle w:val="WS_TD"/>
              <w:spacing w:before="40" w:after="40"/>
            </w:pPr>
            <w:r>
              <w:t>Aerosol from trunk secretions; direct contact; contaminated feed/water</w:t>
            </w:r>
          </w:p>
        </w:tc>
      </w:tr>
      <w:tr>
        <w:tc>
          <w:tcPr>
            <w:tcW w:type="dxa" w:w="2268"/>
            <w:shd w:val="clear" w:color="auto" w:fill="FFFFFF"/>
          </w:tcPr>
          <w:p>
            <w:pPr>
              <w:pStyle w:val="WS_TD"/>
              <w:spacing w:before="40" w:after="40"/>
            </w:pPr>
            <w:r>
              <w:t>Clinical Signs</w:t>
            </w:r>
          </w:p>
        </w:tc>
        <w:tc>
          <w:tcPr>
            <w:tcW w:type="dxa" w:w="7370"/>
            <w:shd w:val="clear" w:color="auto" w:fill="FFFFFF"/>
          </w:tcPr>
          <w:p>
            <w:pPr>
              <w:pStyle w:val="WS_TD"/>
              <w:spacing w:before="40" w:after="40"/>
            </w:pPr>
            <w:r>
              <w:t>Weight loss, weakness, intermittent trunk discharge, respiratory distress; often subclinical</w:t>
            </w:r>
          </w:p>
        </w:tc>
      </w:tr>
      <w:tr>
        <w:tc>
          <w:tcPr>
            <w:tcW w:type="dxa" w:w="2268"/>
            <w:shd w:val="clear" w:color="auto" w:fill="EAF7EE"/>
          </w:tcPr>
          <w:p>
            <w:pPr>
              <w:pStyle w:val="WS_TD"/>
              <w:spacing w:before="40" w:after="40"/>
            </w:pPr>
            <w:r>
              <w:t>PM Lesions</w:t>
            </w:r>
          </w:p>
        </w:tc>
        <w:tc>
          <w:tcPr>
            <w:tcW w:type="dxa" w:w="7370"/>
            <w:shd w:val="clear" w:color="auto" w:fill="EAF7EE"/>
          </w:tcPr>
          <w:p>
            <w:pPr>
              <w:pStyle w:val="WS_TD"/>
              <w:spacing w:before="40" w:after="40"/>
            </w:pPr>
            <w:r>
              <w:t>Granulomata in lungs, thoracic LN, liver, spleen; cavitation in advanced cases</w:t>
            </w:r>
          </w:p>
        </w:tc>
      </w:tr>
      <w:tr>
        <w:tc>
          <w:tcPr>
            <w:tcW w:type="dxa" w:w="2268"/>
            <w:shd w:val="clear" w:color="auto" w:fill="FFFFFF"/>
          </w:tcPr>
          <w:p>
            <w:pPr>
              <w:pStyle w:val="WS_TD"/>
              <w:spacing w:before="40" w:after="40"/>
            </w:pPr>
            <w:r>
              <w:t>Histopathology</w:t>
            </w:r>
          </w:p>
        </w:tc>
        <w:tc>
          <w:tcPr>
            <w:tcW w:type="dxa" w:w="7370"/>
            <w:shd w:val="clear" w:color="auto" w:fill="FFFFFF"/>
          </w:tcPr>
          <w:p>
            <w:pPr>
              <w:pStyle w:val="WS_TD"/>
              <w:spacing w:before="40" w:after="40"/>
            </w:pPr>
            <w:r>
              <w:t>Caseous necrosis, Langhans giant cells, lymphocytic infiltration</w:t>
            </w:r>
          </w:p>
        </w:tc>
      </w:tr>
      <w:tr>
        <w:tc>
          <w:tcPr>
            <w:tcW w:type="dxa" w:w="2268"/>
            <w:shd w:val="clear" w:color="auto" w:fill="EAF7EE"/>
          </w:tcPr>
          <w:p>
            <w:pPr>
              <w:pStyle w:val="WS_TD"/>
              <w:spacing w:before="40" w:after="40"/>
            </w:pPr>
            <w:r>
              <w:t>Diagnosis</w:t>
            </w:r>
          </w:p>
        </w:tc>
        <w:tc>
          <w:tcPr>
            <w:tcW w:type="dxa" w:w="7370"/>
            <w:shd w:val="clear" w:color="auto" w:fill="EAF7EE"/>
          </w:tcPr>
          <w:p>
            <w:pPr>
              <w:pStyle w:val="WS_TD"/>
              <w:spacing w:before="40" w:after="40"/>
            </w:pPr>
            <w:r>
              <w:t>ELISA (ElephantTB STAT-PAK), trunk wash culture (BSL-3), PCR, MGIT</w:t>
            </w:r>
          </w:p>
        </w:tc>
      </w:tr>
      <w:tr>
        <w:tc>
          <w:tcPr>
            <w:tcW w:type="dxa" w:w="2268"/>
            <w:shd w:val="clear" w:color="auto" w:fill="FFFFFF"/>
          </w:tcPr>
          <w:p>
            <w:pPr>
              <w:pStyle w:val="WS_TD"/>
              <w:spacing w:before="40" w:after="40"/>
            </w:pPr>
            <w:r>
              <w:t>Zoonotic Risk</w:t>
            </w:r>
          </w:p>
        </w:tc>
        <w:tc>
          <w:tcPr>
            <w:tcW w:type="dxa" w:w="7370"/>
            <w:shd w:val="clear" w:color="auto" w:fill="FFFFFF"/>
          </w:tcPr>
          <w:p>
            <w:pPr>
              <w:pStyle w:val="WS_TD"/>
              <w:spacing w:before="40" w:after="40"/>
            </w:pPr>
            <w:r>
              <w:t>HIGH — PPE (N95 mask, gloves, gown) MANDATORY during necropsy</w:t>
            </w:r>
          </w:p>
        </w:tc>
      </w:tr>
      <w:tr>
        <w:tc>
          <w:tcPr>
            <w:tcW w:type="dxa" w:w="2268"/>
            <w:shd w:val="clear" w:color="auto" w:fill="EAF7EE"/>
          </w:tcPr>
          <w:p>
            <w:pPr>
              <w:pStyle w:val="WS_TD"/>
              <w:spacing w:before="40" w:after="40"/>
            </w:pPr>
            <w:r>
              <w:t>Treatment</w:t>
            </w:r>
          </w:p>
        </w:tc>
        <w:tc>
          <w:tcPr>
            <w:tcW w:type="dxa" w:w="7370"/>
            <w:shd w:val="clear" w:color="auto" w:fill="EAF7EE"/>
          </w:tcPr>
          <w:p>
            <w:pPr>
              <w:pStyle w:val="WS_TD"/>
              <w:spacing w:before="40" w:after="40"/>
            </w:pPr>
            <w:r>
              <w:t>Anti-TB regimen (isoniazid, rifampicin, ethambutol) — long-term, complex in elephants</w:t>
            </w:r>
          </w:p>
        </w:tc>
      </w:tr>
      <w:tr>
        <w:tc>
          <w:tcPr>
            <w:tcW w:type="dxa" w:w="2268"/>
            <w:shd w:val="clear" w:color="auto" w:fill="FFFFFF"/>
          </w:tcPr>
          <w:p>
            <w:pPr>
              <w:pStyle w:val="WS_TD"/>
              <w:spacing w:before="40" w:after="40"/>
            </w:pPr>
            <w:r>
              <w:t>Surveillance</w:t>
            </w:r>
          </w:p>
        </w:tc>
        <w:tc>
          <w:tcPr>
            <w:tcW w:type="dxa" w:w="7370"/>
            <w:shd w:val="clear" w:color="auto" w:fill="FFFFFF"/>
          </w:tcPr>
          <w:p>
            <w:pPr>
              <w:pStyle w:val="WS_TD"/>
              <w:spacing w:before="40" w:after="40"/>
            </w:pPr>
            <w:r>
              <w:t>Annual trunk wash culture for all captive elephants is mandatory (MoEFCC guidelines)</w:t>
            </w:r>
          </w:p>
        </w:tc>
      </w:tr>
    </w:tbl>
    <w:p/>
    <w:p>
      <w:pPr>
        <w:pStyle w:val="WS_H2"/>
        <w:ind w:left="170"/>
      </w:pPr>
      <w:r>
        <w:rPr>
          <w:b/>
          <w:color w:val="2D6A4F"/>
        </w:rPr>
        <w:t>B. Anthrax (Bacillus anthracis)</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pStyle w:val="WS_TH"/>
              <w:spacing w:before="60" w:after="60"/>
            </w:pPr>
            <w:r>
              <w:rPr>
                <w:b/>
                <w:color w:val="FFFFFF"/>
              </w:rPr>
              <w:t>Feature</w:t>
            </w:r>
          </w:p>
        </w:tc>
        <w:tc>
          <w:tcPr>
            <w:tcW w:type="dxa" w:w="7370"/>
            <w:shd w:val="clear" w:color="auto" w:fill="2D6A4F"/>
          </w:tcPr>
          <w:p>
            <w:pPr>
              <w:pStyle w:val="WS_TH"/>
              <w:spacing w:before="60" w:after="60"/>
            </w:pPr>
            <w:r>
              <w:rPr>
                <w:b/>
                <w:color w:val="FFFFFF"/>
              </w:rPr>
              <w:t>Details</w:t>
            </w:r>
          </w:p>
        </w:tc>
      </w:tr>
      <w:tr>
        <w:tc>
          <w:tcPr>
            <w:tcW w:type="dxa" w:w="2268"/>
            <w:shd w:val="clear" w:color="auto" w:fill="FFFFFF"/>
          </w:tcPr>
          <w:p>
            <w:pPr>
              <w:pStyle w:val="WS_TD"/>
              <w:spacing w:before="40" w:after="40"/>
            </w:pPr>
            <w:r>
              <w:t>Causative Agent</w:t>
            </w:r>
          </w:p>
        </w:tc>
        <w:tc>
          <w:tcPr>
            <w:tcW w:type="dxa" w:w="7370"/>
            <w:shd w:val="clear" w:color="auto" w:fill="FFFFFF"/>
          </w:tcPr>
          <w:p>
            <w:pPr>
              <w:pStyle w:val="WS_TD"/>
              <w:spacing w:before="40" w:after="40"/>
            </w:pPr>
            <w:r>
              <w:t>Bacillus anthracis — spore-forming, Gram-positive rod</w:t>
            </w:r>
          </w:p>
        </w:tc>
      </w:tr>
      <w:tr>
        <w:tc>
          <w:tcPr>
            <w:tcW w:type="dxa" w:w="2268"/>
            <w:shd w:val="clear" w:color="auto" w:fill="EAF7EE"/>
          </w:tcPr>
          <w:p>
            <w:pPr>
              <w:pStyle w:val="WS_TD"/>
              <w:spacing w:before="40" w:after="40"/>
            </w:pPr>
            <w:r>
              <w:t>Risk Areas</w:t>
            </w:r>
          </w:p>
        </w:tc>
        <w:tc>
          <w:tcPr>
            <w:tcW w:type="dxa" w:w="7370"/>
            <w:shd w:val="clear" w:color="auto" w:fill="EAF7EE"/>
          </w:tcPr>
          <w:p>
            <w:pPr>
              <w:pStyle w:val="WS_TD"/>
              <w:spacing w:before="40" w:after="40"/>
            </w:pPr>
            <w:r>
              <w:t>Soil-borne; enzootic in parts of Karnataka, Andhra Pradesh; CG reports rare</w:t>
            </w:r>
          </w:p>
        </w:tc>
      </w:tr>
      <w:tr>
        <w:tc>
          <w:tcPr>
            <w:tcW w:type="dxa" w:w="2268"/>
            <w:shd w:val="clear" w:color="auto" w:fill="FFFFFF"/>
          </w:tcPr>
          <w:p>
            <w:pPr>
              <w:pStyle w:val="WS_TD"/>
              <w:spacing w:before="40" w:after="40"/>
            </w:pPr>
            <w:r>
              <w:t>Presentation</w:t>
            </w:r>
          </w:p>
        </w:tc>
        <w:tc>
          <w:tcPr>
            <w:tcW w:type="dxa" w:w="7370"/>
            <w:shd w:val="clear" w:color="auto" w:fill="FFFFFF"/>
          </w:tcPr>
          <w:p>
            <w:pPr>
              <w:pStyle w:val="WS_TD"/>
              <w:spacing w:before="40" w:after="40"/>
            </w:pPr>
            <w:r>
              <w:t>Peracute death; bloody discharge from body orifices; bloating; no rigor mortis</w:t>
            </w:r>
          </w:p>
        </w:tc>
      </w:tr>
      <w:tr>
        <w:tc>
          <w:tcPr>
            <w:tcW w:type="dxa" w:w="2268"/>
            <w:shd w:val="clear" w:color="auto" w:fill="EAF7EE"/>
          </w:tcPr>
          <w:p>
            <w:pPr>
              <w:pStyle w:val="WS_TD"/>
              <w:spacing w:before="40" w:after="40"/>
            </w:pPr>
            <w:r>
              <w:t>PM Protocol</w:t>
            </w:r>
          </w:p>
        </w:tc>
        <w:tc>
          <w:tcPr>
            <w:tcW w:type="dxa" w:w="7370"/>
            <w:shd w:val="clear" w:color="auto" w:fill="EAF7EE"/>
          </w:tcPr>
          <w:p>
            <w:pPr>
              <w:pStyle w:val="WS_TD"/>
              <w:spacing w:before="40" w:after="40"/>
            </w:pPr>
            <w:r>
              <w:t>DO NOT OPEN carcass if anthrax suspected — risk of sporulation and environmental contamination</w:t>
            </w:r>
          </w:p>
        </w:tc>
      </w:tr>
      <w:tr>
        <w:tc>
          <w:tcPr>
            <w:tcW w:type="dxa" w:w="2268"/>
            <w:shd w:val="clear" w:color="auto" w:fill="FFFFFF"/>
          </w:tcPr>
          <w:p>
            <w:pPr>
              <w:pStyle w:val="WS_TD"/>
              <w:spacing w:before="40" w:after="40"/>
            </w:pPr>
            <w:r>
              <w:t>Diagnosis</w:t>
            </w:r>
          </w:p>
        </w:tc>
        <w:tc>
          <w:tcPr>
            <w:tcW w:type="dxa" w:w="7370"/>
            <w:shd w:val="clear" w:color="auto" w:fill="FFFFFF"/>
          </w:tcPr>
          <w:p>
            <w:pPr>
              <w:pStyle w:val="WS_TD"/>
              <w:spacing w:before="40" w:after="40"/>
            </w:pPr>
            <w:r>
              <w:t>Blood smear (McFadyean stain — blue-black rods with pink capsule), FAT, PCR</w:t>
            </w:r>
          </w:p>
        </w:tc>
      </w:tr>
      <w:tr>
        <w:tc>
          <w:tcPr>
            <w:tcW w:type="dxa" w:w="2268"/>
            <w:shd w:val="clear" w:color="auto" w:fill="EAF7EE"/>
          </w:tcPr>
          <w:p>
            <w:pPr>
              <w:pStyle w:val="WS_TD"/>
              <w:spacing w:before="40" w:after="40"/>
            </w:pPr>
            <w:r>
              <w:t>Zoonotic Risk</w:t>
            </w:r>
          </w:p>
        </w:tc>
        <w:tc>
          <w:tcPr>
            <w:tcW w:type="dxa" w:w="7370"/>
            <w:shd w:val="clear" w:color="auto" w:fill="EAF7EE"/>
          </w:tcPr>
          <w:p>
            <w:pPr>
              <w:pStyle w:val="WS_TD"/>
              <w:spacing w:before="40" w:after="40"/>
            </w:pPr>
            <w:r>
              <w:t>EXTREME — cutaneous, gastrointestinal, pulmonary anthrax in humans</w:t>
            </w:r>
          </w:p>
        </w:tc>
      </w:tr>
      <w:tr>
        <w:tc>
          <w:tcPr>
            <w:tcW w:type="dxa" w:w="2268"/>
            <w:shd w:val="clear" w:color="auto" w:fill="FFFFFF"/>
          </w:tcPr>
          <w:p>
            <w:pPr>
              <w:pStyle w:val="WS_TD"/>
              <w:spacing w:before="40" w:after="40"/>
            </w:pPr>
            <w:r>
              <w:t>Disposal</w:t>
            </w:r>
          </w:p>
        </w:tc>
        <w:tc>
          <w:tcPr>
            <w:tcW w:type="dxa" w:w="7370"/>
            <w:shd w:val="clear" w:color="auto" w:fill="FFFFFF"/>
          </w:tcPr>
          <w:p>
            <w:pPr>
              <w:pStyle w:val="WS_TD"/>
              <w:spacing w:before="40" w:after="40"/>
            </w:pPr>
            <w:r>
              <w:t>Carcass must be incinerated in situ; burial with lime strongly discouraged</w:t>
            </w:r>
          </w:p>
        </w:tc>
      </w:tr>
    </w:tbl>
    <w:p/>
    <w:p>
      <w:pPr>
        <w:pStyle w:val="WS_H2"/>
        <w:ind w:left="170"/>
      </w:pPr>
      <w:r>
        <w:rPr>
          <w:b/>
          <w:color w:val="2D6A4F"/>
        </w:rPr>
        <w:t>C. Salmonellosis, Pasteurellosis, and Other Bacterial Infections</w:t>
      </w: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pStyle w:val="WS_TH"/>
              <w:spacing w:before="60" w:after="60"/>
            </w:pPr>
            <w:r>
              <w:rPr>
                <w:b/>
                <w:color w:val="FFFFFF"/>
              </w:rPr>
              <w:t>Pathogen</w:t>
            </w:r>
          </w:p>
        </w:tc>
        <w:tc>
          <w:tcPr>
            <w:tcW w:type="dxa" w:w="3685"/>
            <w:shd w:val="clear" w:color="auto" w:fill="2D6A4F"/>
          </w:tcPr>
          <w:p>
            <w:pPr>
              <w:pStyle w:val="WS_TH"/>
              <w:spacing w:before="60" w:after="60"/>
            </w:pPr>
            <w:r>
              <w:rPr>
                <w:b/>
                <w:color w:val="FFFFFF"/>
              </w:rPr>
              <w:t>Common Presentation</w:t>
            </w:r>
          </w:p>
        </w:tc>
        <w:tc>
          <w:tcPr>
            <w:tcW w:type="dxa" w:w="3969"/>
            <w:shd w:val="clear" w:color="auto" w:fill="2D6A4F"/>
          </w:tcPr>
          <w:p>
            <w:pPr>
              <w:pStyle w:val="WS_TH"/>
              <w:spacing w:before="60" w:after="60"/>
            </w:pPr>
            <w:r>
              <w:rPr>
                <w:b/>
                <w:color w:val="FFFFFF"/>
              </w:rPr>
              <w:t>Key Samples for Diagnosis</w:t>
            </w:r>
          </w:p>
        </w:tc>
      </w:tr>
      <w:tr>
        <w:tc>
          <w:tcPr>
            <w:tcW w:type="dxa" w:w="1984"/>
            <w:shd w:val="clear" w:color="auto" w:fill="FFFFFF"/>
          </w:tcPr>
          <w:p>
            <w:pPr>
              <w:pStyle w:val="WS_TD"/>
              <w:spacing w:before="40" w:after="40"/>
            </w:pPr>
            <w:r>
              <w:t>Salmonella spp.</w:t>
            </w:r>
          </w:p>
        </w:tc>
        <w:tc>
          <w:tcPr>
            <w:tcW w:type="dxa" w:w="3685"/>
            <w:shd w:val="clear" w:color="auto" w:fill="FFFFFF"/>
          </w:tcPr>
          <w:p>
            <w:pPr>
              <w:pStyle w:val="WS_TD"/>
              <w:spacing w:before="40" w:after="40"/>
            </w:pPr>
            <w:r>
              <w:t>Septicaemia, haemorrhagic enteritis, sudden death in calves</w:t>
            </w:r>
          </w:p>
        </w:tc>
        <w:tc>
          <w:tcPr>
            <w:tcW w:type="dxa" w:w="3969"/>
            <w:shd w:val="clear" w:color="auto" w:fill="FFFFFF"/>
          </w:tcPr>
          <w:p>
            <w:pPr>
              <w:pStyle w:val="WS_TD"/>
              <w:spacing w:before="40" w:after="40"/>
            </w:pPr>
            <w:r>
              <w:t>Intestinal contents, spleen, liver</w:t>
            </w:r>
          </w:p>
        </w:tc>
      </w:tr>
      <w:tr>
        <w:tc>
          <w:tcPr>
            <w:tcW w:type="dxa" w:w="1984"/>
            <w:shd w:val="clear" w:color="auto" w:fill="EAF7EE"/>
          </w:tcPr>
          <w:p>
            <w:pPr>
              <w:pStyle w:val="WS_TD"/>
              <w:spacing w:before="40" w:after="40"/>
            </w:pPr>
            <w:r>
              <w:t>Pasteurella multocida</w:t>
            </w:r>
          </w:p>
        </w:tc>
        <w:tc>
          <w:tcPr>
            <w:tcW w:type="dxa" w:w="3685"/>
            <w:shd w:val="clear" w:color="auto" w:fill="EAF7EE"/>
          </w:tcPr>
          <w:p>
            <w:pPr>
              <w:pStyle w:val="WS_TD"/>
              <w:spacing w:before="40" w:after="40"/>
            </w:pPr>
            <w:r>
              <w:t>Haemorrhagic septicaemia, pneumonia — especially stressed/captive animals</w:t>
            </w:r>
          </w:p>
        </w:tc>
        <w:tc>
          <w:tcPr>
            <w:tcW w:type="dxa" w:w="3969"/>
            <w:shd w:val="clear" w:color="auto" w:fill="EAF7EE"/>
          </w:tcPr>
          <w:p>
            <w:pPr>
              <w:pStyle w:val="WS_TD"/>
              <w:spacing w:before="40" w:after="40"/>
            </w:pPr>
            <w:r>
              <w:t>Lung, lymph nodes, blood</w:t>
            </w:r>
          </w:p>
        </w:tc>
      </w:tr>
      <w:tr>
        <w:tc>
          <w:tcPr>
            <w:tcW w:type="dxa" w:w="1984"/>
            <w:shd w:val="clear" w:color="auto" w:fill="FFFFFF"/>
          </w:tcPr>
          <w:p>
            <w:pPr>
              <w:pStyle w:val="WS_TD"/>
              <w:spacing w:before="40" w:after="40"/>
            </w:pPr>
            <w:r>
              <w:t>Clostridium perfringens</w:t>
            </w:r>
          </w:p>
        </w:tc>
        <w:tc>
          <w:tcPr>
            <w:tcW w:type="dxa" w:w="3685"/>
            <w:shd w:val="clear" w:color="auto" w:fill="FFFFFF"/>
          </w:tcPr>
          <w:p>
            <w:pPr>
              <w:pStyle w:val="WS_TD"/>
              <w:spacing w:before="40" w:after="40"/>
            </w:pPr>
            <w:r>
              <w:t>Enterotoxaemia, sudden death; haemorrhagic enteritis</w:t>
            </w:r>
          </w:p>
        </w:tc>
        <w:tc>
          <w:tcPr>
            <w:tcW w:type="dxa" w:w="3969"/>
            <w:shd w:val="clear" w:color="auto" w:fill="FFFFFF"/>
          </w:tcPr>
          <w:p>
            <w:pPr>
              <w:pStyle w:val="WS_TD"/>
              <w:spacing w:before="40" w:after="40"/>
            </w:pPr>
            <w:r>
              <w:t>Intestinal contents (fresh — no fixative)</w:t>
            </w:r>
          </w:p>
        </w:tc>
      </w:tr>
      <w:tr>
        <w:tc>
          <w:tcPr>
            <w:tcW w:type="dxa" w:w="1984"/>
            <w:shd w:val="clear" w:color="auto" w:fill="EAF7EE"/>
          </w:tcPr>
          <w:p>
            <w:pPr>
              <w:pStyle w:val="WS_TD"/>
              <w:spacing w:before="40" w:after="40"/>
            </w:pPr>
            <w:r>
              <w:t>Streptococcus spp.</w:t>
            </w:r>
          </w:p>
        </w:tc>
        <w:tc>
          <w:tcPr>
            <w:tcW w:type="dxa" w:w="3685"/>
            <w:shd w:val="clear" w:color="auto" w:fill="EAF7EE"/>
          </w:tcPr>
          <w:p>
            <w:pPr>
              <w:pStyle w:val="WS_TD"/>
              <w:spacing w:before="40" w:after="40"/>
            </w:pPr>
            <w:r>
              <w:t>Septicaemia, endocarditis, joint infection, skin abscess</w:t>
            </w:r>
          </w:p>
        </w:tc>
        <w:tc>
          <w:tcPr>
            <w:tcW w:type="dxa" w:w="3969"/>
            <w:shd w:val="clear" w:color="auto" w:fill="EAF7EE"/>
          </w:tcPr>
          <w:p>
            <w:pPr>
              <w:pStyle w:val="WS_TD"/>
              <w:spacing w:before="40" w:after="40"/>
            </w:pPr>
            <w:r>
              <w:t>Blood, joint fluid, abscess swab</w:t>
            </w:r>
          </w:p>
        </w:tc>
      </w:tr>
      <w:tr>
        <w:tc>
          <w:tcPr>
            <w:tcW w:type="dxa" w:w="1984"/>
            <w:shd w:val="clear" w:color="auto" w:fill="FFFFFF"/>
          </w:tcPr>
          <w:p>
            <w:pPr>
              <w:pStyle w:val="WS_TD"/>
              <w:spacing w:before="40" w:after="40"/>
            </w:pPr>
            <w:r>
              <w:t>E. coli</w:t>
            </w:r>
          </w:p>
        </w:tc>
        <w:tc>
          <w:tcPr>
            <w:tcW w:type="dxa" w:w="3685"/>
            <w:shd w:val="clear" w:color="auto" w:fill="FFFFFF"/>
          </w:tcPr>
          <w:p>
            <w:pPr>
              <w:pStyle w:val="WS_TD"/>
              <w:spacing w:before="40" w:after="40"/>
            </w:pPr>
            <w:r>
              <w:t>Diarrhoea in calves; secondary infections</w:t>
            </w:r>
          </w:p>
        </w:tc>
        <w:tc>
          <w:tcPr>
            <w:tcW w:type="dxa" w:w="3969"/>
            <w:shd w:val="clear" w:color="auto" w:fill="FFFFFF"/>
          </w:tcPr>
          <w:p>
            <w:pPr>
              <w:pStyle w:val="WS_TD"/>
              <w:spacing w:before="40" w:after="40"/>
            </w:pPr>
            <w:r>
              <w:t>Faeces, intestine</w:t>
            </w:r>
          </w:p>
        </w:tc>
      </w:tr>
      <w:tr>
        <w:tc>
          <w:tcPr>
            <w:tcW w:type="dxa" w:w="1984"/>
            <w:shd w:val="clear" w:color="auto" w:fill="EAF7EE"/>
          </w:tcPr>
          <w:p>
            <w:pPr>
              <w:pStyle w:val="WS_TD"/>
              <w:spacing w:before="40" w:after="40"/>
            </w:pPr>
            <w:r>
              <w:t>Leptospira spp.</w:t>
            </w:r>
          </w:p>
        </w:tc>
        <w:tc>
          <w:tcPr>
            <w:tcW w:type="dxa" w:w="3685"/>
            <w:shd w:val="clear" w:color="auto" w:fill="EAF7EE"/>
          </w:tcPr>
          <w:p>
            <w:pPr>
              <w:pStyle w:val="WS_TD"/>
              <w:spacing w:before="40" w:after="40"/>
            </w:pPr>
            <w:r>
              <w:t>Jaundice, haemolytic anaemia, renal failure — waterborne</w:t>
            </w:r>
          </w:p>
        </w:tc>
        <w:tc>
          <w:tcPr>
            <w:tcW w:type="dxa" w:w="3969"/>
            <w:shd w:val="clear" w:color="auto" w:fill="EAF7EE"/>
          </w:tcPr>
          <w:p>
            <w:pPr>
              <w:pStyle w:val="WS_TD"/>
              <w:spacing w:before="40" w:after="40"/>
            </w:pPr>
            <w:r>
              <w:t>Kidney, urine, serum (MAT)</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4. Parasitic Diseases</w:t>
            </w:r>
          </w:p>
        </w:tc>
      </w:tr>
    </w:tbl>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701"/>
            <w:shd w:val="clear" w:color="auto" w:fill="2D6A4F"/>
          </w:tcPr>
          <w:p>
            <w:pPr>
              <w:pStyle w:val="WS_TH"/>
              <w:spacing w:before="60" w:after="60"/>
            </w:pPr>
            <w:r>
              <w:rPr>
                <w:b/>
                <w:color w:val="FFFFFF"/>
              </w:rPr>
              <w:t>Parasite Group</w:t>
            </w:r>
          </w:p>
        </w:tc>
        <w:tc>
          <w:tcPr>
            <w:tcW w:type="dxa" w:w="1984"/>
            <w:shd w:val="clear" w:color="auto" w:fill="2D6A4F"/>
          </w:tcPr>
          <w:p>
            <w:pPr>
              <w:pStyle w:val="WS_TH"/>
              <w:spacing w:before="60" w:after="60"/>
            </w:pPr>
            <w:r>
              <w:rPr>
                <w:b/>
                <w:color w:val="FFFFFF"/>
              </w:rPr>
              <w:t>Species</w:t>
            </w:r>
          </w:p>
        </w:tc>
        <w:tc>
          <w:tcPr>
            <w:tcW w:type="dxa" w:w="1417"/>
            <w:shd w:val="clear" w:color="auto" w:fill="2D6A4F"/>
          </w:tcPr>
          <w:p>
            <w:pPr>
              <w:pStyle w:val="WS_TH"/>
              <w:spacing w:before="60" w:after="60"/>
            </w:pPr>
            <w:r>
              <w:rPr>
                <w:b/>
                <w:color w:val="FFFFFF"/>
              </w:rPr>
              <w:t>Site</w:t>
            </w:r>
          </w:p>
        </w:tc>
        <w:tc>
          <w:tcPr>
            <w:tcW w:type="dxa" w:w="2268"/>
            <w:shd w:val="clear" w:color="auto" w:fill="2D6A4F"/>
          </w:tcPr>
          <w:p>
            <w:pPr>
              <w:pStyle w:val="WS_TH"/>
              <w:spacing w:before="60" w:after="60"/>
            </w:pPr>
            <w:r>
              <w:rPr>
                <w:b/>
                <w:color w:val="FFFFFF"/>
              </w:rPr>
              <w:t>Clinical Impact</w:t>
            </w:r>
          </w:p>
        </w:tc>
        <w:tc>
          <w:tcPr>
            <w:tcW w:type="dxa" w:w="2268"/>
            <w:shd w:val="clear" w:color="auto" w:fill="2D6A4F"/>
          </w:tcPr>
          <w:p>
            <w:pPr>
              <w:pStyle w:val="WS_TH"/>
              <w:spacing w:before="60" w:after="60"/>
            </w:pPr>
            <w:r>
              <w:rPr>
                <w:b/>
                <w:color w:val="FFFFFF"/>
              </w:rPr>
              <w:t>Diagnosis</w:t>
            </w:r>
          </w:p>
        </w:tc>
      </w:tr>
      <w:tr>
        <w:tc>
          <w:tcPr>
            <w:tcW w:type="dxa" w:w="1701"/>
            <w:shd w:val="clear" w:color="auto" w:fill="FFFFFF"/>
          </w:tcPr>
          <w:p>
            <w:pPr>
              <w:pStyle w:val="WS_TD"/>
              <w:spacing w:before="40" w:after="40"/>
            </w:pPr>
            <w:r>
              <w:t>Nematodes</w:t>
            </w:r>
          </w:p>
        </w:tc>
        <w:tc>
          <w:tcPr>
            <w:tcW w:type="dxa" w:w="1984"/>
            <w:shd w:val="clear" w:color="auto" w:fill="FFFFFF"/>
          </w:tcPr>
          <w:p>
            <w:pPr>
              <w:pStyle w:val="WS_TD"/>
              <w:spacing w:before="40" w:after="40"/>
            </w:pPr>
            <w:r>
              <w:t>Quilonia spp., Murshidia spp., Choniangium spp.</w:t>
            </w:r>
          </w:p>
        </w:tc>
        <w:tc>
          <w:tcPr>
            <w:tcW w:type="dxa" w:w="1417"/>
            <w:shd w:val="clear" w:color="auto" w:fill="FFFFFF"/>
          </w:tcPr>
          <w:p>
            <w:pPr>
              <w:pStyle w:val="WS_TD"/>
              <w:spacing w:before="40" w:after="40"/>
            </w:pPr>
            <w:r>
              <w:t>Large intestine</w:t>
            </w:r>
          </w:p>
        </w:tc>
        <w:tc>
          <w:tcPr>
            <w:tcW w:type="dxa" w:w="2268"/>
            <w:shd w:val="clear" w:color="auto" w:fill="FFFFFF"/>
          </w:tcPr>
          <w:p>
            <w:pPr>
              <w:pStyle w:val="WS_TD"/>
              <w:spacing w:before="40" w:after="40"/>
            </w:pPr>
            <w:r>
              <w:t>Colic, weight loss, anaemia in heavy burden</w:t>
            </w:r>
          </w:p>
        </w:tc>
        <w:tc>
          <w:tcPr>
            <w:tcW w:type="dxa" w:w="2268"/>
            <w:shd w:val="clear" w:color="auto" w:fill="FFFFFF"/>
          </w:tcPr>
          <w:p>
            <w:pPr>
              <w:pStyle w:val="WS_TD"/>
              <w:spacing w:before="40" w:after="40"/>
            </w:pPr>
            <w:r>
              <w:t>Faecal flotation, PM intestinal exam</w:t>
            </w:r>
          </w:p>
        </w:tc>
      </w:tr>
      <w:tr>
        <w:tc>
          <w:tcPr>
            <w:tcW w:type="dxa" w:w="1701"/>
            <w:shd w:val="clear" w:color="auto" w:fill="EAF7EE"/>
          </w:tcPr>
          <w:p>
            <w:pPr>
              <w:pStyle w:val="WS_TD"/>
              <w:spacing w:before="40" w:after="40"/>
            </w:pPr>
            <w:r>
              <w:t>Trematodes</w:t>
            </w:r>
          </w:p>
        </w:tc>
        <w:tc>
          <w:tcPr>
            <w:tcW w:type="dxa" w:w="1984"/>
            <w:shd w:val="clear" w:color="auto" w:fill="EAF7EE"/>
          </w:tcPr>
          <w:p>
            <w:pPr>
              <w:pStyle w:val="WS_TD"/>
              <w:spacing w:before="40" w:after="40"/>
            </w:pPr>
            <w:r>
              <w:t>Brumptia bicaudata</w:t>
            </w:r>
          </w:p>
        </w:tc>
        <w:tc>
          <w:tcPr>
            <w:tcW w:type="dxa" w:w="1417"/>
            <w:shd w:val="clear" w:color="auto" w:fill="EAF7EE"/>
          </w:tcPr>
          <w:p>
            <w:pPr>
              <w:pStyle w:val="WS_TD"/>
              <w:spacing w:before="40" w:after="40"/>
            </w:pPr>
            <w:r>
              <w:t>Caecum, large intestine</w:t>
            </w:r>
          </w:p>
        </w:tc>
        <w:tc>
          <w:tcPr>
            <w:tcW w:type="dxa" w:w="2268"/>
            <w:shd w:val="clear" w:color="auto" w:fill="EAF7EE"/>
          </w:tcPr>
          <w:p>
            <w:pPr>
              <w:pStyle w:val="WS_TD"/>
              <w:spacing w:before="40" w:after="40"/>
            </w:pPr>
            <w:r>
              <w:t>Usually subclinical; heavy loads cause enteritis</w:t>
            </w:r>
          </w:p>
        </w:tc>
        <w:tc>
          <w:tcPr>
            <w:tcW w:type="dxa" w:w="2268"/>
            <w:shd w:val="clear" w:color="auto" w:fill="EAF7EE"/>
          </w:tcPr>
          <w:p>
            <w:pPr>
              <w:pStyle w:val="WS_TD"/>
              <w:spacing w:before="40" w:after="40"/>
            </w:pPr>
            <w:r>
              <w:t>Faecal sedimentation, PM</w:t>
            </w:r>
          </w:p>
        </w:tc>
      </w:tr>
      <w:tr>
        <w:tc>
          <w:tcPr>
            <w:tcW w:type="dxa" w:w="1701"/>
            <w:shd w:val="clear" w:color="auto" w:fill="FFFFFF"/>
          </w:tcPr>
          <w:p>
            <w:pPr>
              <w:pStyle w:val="WS_TD"/>
              <w:spacing w:before="40" w:after="40"/>
            </w:pPr>
            <w:r>
              <w:t>Cestodes</w:t>
            </w:r>
          </w:p>
        </w:tc>
        <w:tc>
          <w:tcPr>
            <w:tcW w:type="dxa" w:w="1984"/>
            <w:shd w:val="clear" w:color="auto" w:fill="FFFFFF"/>
          </w:tcPr>
          <w:p>
            <w:pPr>
              <w:pStyle w:val="WS_TD"/>
              <w:spacing w:before="40" w:after="40"/>
            </w:pPr>
            <w:r>
              <w:t>Anoplocephala manubriata</w:t>
            </w:r>
          </w:p>
        </w:tc>
        <w:tc>
          <w:tcPr>
            <w:tcW w:type="dxa" w:w="1417"/>
            <w:shd w:val="clear" w:color="auto" w:fill="FFFFFF"/>
          </w:tcPr>
          <w:p>
            <w:pPr>
              <w:pStyle w:val="WS_TD"/>
              <w:spacing w:before="40" w:after="40"/>
            </w:pPr>
            <w:r>
              <w:t>Small intestine</w:t>
            </w:r>
          </w:p>
        </w:tc>
        <w:tc>
          <w:tcPr>
            <w:tcW w:type="dxa" w:w="2268"/>
            <w:shd w:val="clear" w:color="auto" w:fill="FFFFFF"/>
          </w:tcPr>
          <w:p>
            <w:pPr>
              <w:pStyle w:val="WS_TD"/>
              <w:spacing w:before="40" w:after="40"/>
            </w:pPr>
            <w:r>
              <w:t>Mild; rarely cause mortality</w:t>
            </w:r>
          </w:p>
        </w:tc>
        <w:tc>
          <w:tcPr>
            <w:tcW w:type="dxa" w:w="2268"/>
            <w:shd w:val="clear" w:color="auto" w:fill="FFFFFF"/>
          </w:tcPr>
          <w:p>
            <w:pPr>
              <w:pStyle w:val="WS_TD"/>
              <w:spacing w:before="40" w:after="40"/>
            </w:pPr>
            <w:r>
              <w:t>Faecal exam, PM intestine</w:t>
            </w:r>
          </w:p>
        </w:tc>
      </w:tr>
      <w:tr>
        <w:tc>
          <w:tcPr>
            <w:tcW w:type="dxa" w:w="1701"/>
            <w:shd w:val="clear" w:color="auto" w:fill="EAF7EE"/>
          </w:tcPr>
          <w:p>
            <w:pPr>
              <w:pStyle w:val="WS_TD"/>
              <w:spacing w:before="40" w:after="40"/>
            </w:pPr>
            <w:r>
              <w:t>Protozoa</w:t>
            </w:r>
          </w:p>
        </w:tc>
        <w:tc>
          <w:tcPr>
            <w:tcW w:type="dxa" w:w="1984"/>
            <w:shd w:val="clear" w:color="auto" w:fill="EAF7EE"/>
          </w:tcPr>
          <w:p>
            <w:pPr>
              <w:pStyle w:val="WS_TD"/>
              <w:spacing w:before="40" w:after="40"/>
            </w:pPr>
            <w:r>
              <w:t>Trypanosoma spp.</w:t>
            </w:r>
          </w:p>
        </w:tc>
        <w:tc>
          <w:tcPr>
            <w:tcW w:type="dxa" w:w="1417"/>
            <w:shd w:val="clear" w:color="auto" w:fill="EAF7EE"/>
          </w:tcPr>
          <w:p>
            <w:pPr>
              <w:pStyle w:val="WS_TD"/>
              <w:spacing w:before="40" w:after="40"/>
            </w:pPr>
            <w:r>
              <w:t>Blood</w:t>
            </w:r>
          </w:p>
        </w:tc>
        <w:tc>
          <w:tcPr>
            <w:tcW w:type="dxa" w:w="2268"/>
            <w:shd w:val="clear" w:color="auto" w:fill="EAF7EE"/>
          </w:tcPr>
          <w:p>
            <w:pPr>
              <w:pStyle w:val="WS_TD"/>
              <w:spacing w:before="40" w:after="40"/>
            </w:pPr>
            <w:r>
              <w:t>Nagana-like syndrome; emaciation; rarely fatal</w:t>
            </w:r>
          </w:p>
        </w:tc>
        <w:tc>
          <w:tcPr>
            <w:tcW w:type="dxa" w:w="2268"/>
            <w:shd w:val="clear" w:color="auto" w:fill="EAF7EE"/>
          </w:tcPr>
          <w:p>
            <w:pPr>
              <w:pStyle w:val="WS_TD"/>
              <w:spacing w:before="40" w:after="40"/>
            </w:pPr>
            <w:r>
              <w:t>Blood smear, PCR</w:t>
            </w:r>
          </w:p>
        </w:tc>
      </w:tr>
      <w:tr>
        <w:tc>
          <w:tcPr>
            <w:tcW w:type="dxa" w:w="1701"/>
            <w:shd w:val="clear" w:color="auto" w:fill="FFFFFF"/>
          </w:tcPr>
          <w:p>
            <w:pPr>
              <w:pStyle w:val="WS_TD"/>
              <w:spacing w:before="40" w:after="40"/>
            </w:pPr>
            <w:r>
              <w:t>Ectoparasites</w:t>
            </w:r>
          </w:p>
        </w:tc>
        <w:tc>
          <w:tcPr>
            <w:tcW w:type="dxa" w:w="1984"/>
            <w:shd w:val="clear" w:color="auto" w:fill="FFFFFF"/>
          </w:tcPr>
          <w:p>
            <w:pPr>
              <w:pStyle w:val="WS_TD"/>
              <w:spacing w:before="40" w:after="40"/>
            </w:pPr>
            <w:r>
              <w:t>Haemaphysalis, Amblyomma ticks; lice; mange mites</w:t>
            </w:r>
          </w:p>
        </w:tc>
        <w:tc>
          <w:tcPr>
            <w:tcW w:type="dxa" w:w="1417"/>
            <w:shd w:val="clear" w:color="auto" w:fill="FFFFFF"/>
          </w:tcPr>
          <w:p>
            <w:pPr>
              <w:pStyle w:val="WS_TD"/>
              <w:spacing w:before="40" w:after="40"/>
            </w:pPr>
            <w:r>
              <w:t>Skin</w:t>
            </w:r>
          </w:p>
        </w:tc>
        <w:tc>
          <w:tcPr>
            <w:tcW w:type="dxa" w:w="2268"/>
            <w:shd w:val="clear" w:color="auto" w:fill="FFFFFF"/>
          </w:tcPr>
          <w:p>
            <w:pPr>
              <w:pStyle w:val="WS_TD"/>
              <w:spacing w:before="40" w:after="40"/>
            </w:pPr>
            <w:r>
              <w:t>Anaemia, skin lesions, vector for pathogens</w:t>
            </w:r>
          </w:p>
        </w:tc>
        <w:tc>
          <w:tcPr>
            <w:tcW w:type="dxa" w:w="2268"/>
            <w:shd w:val="clear" w:color="auto" w:fill="FFFFFF"/>
          </w:tcPr>
          <w:p>
            <w:pPr>
              <w:pStyle w:val="WS_TD"/>
              <w:spacing w:before="40" w:after="40"/>
            </w:pPr>
            <w:r>
              <w:t>Skin scraping, tick collection</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5. EEHV Surveillance Protocol — Field Guide</w:t>
            </w:r>
          </w:p>
        </w:tc>
      </w:tr>
    </w:tbl>
    <w:p/>
    <w:tbl>
      <w:tblPr>
        <w:tblStyle w:val="TableGrid"/>
        <w:tblW w:type="auto" w:w="0"/>
        <w:tblLook w:firstColumn="1" w:firstRow="1" w:lastColumn="0" w:lastRow="0" w:noHBand="0" w:noVBand="1" w:val="04A0"/>
      </w:tblPr>
      <w:tblGrid>
        <w:gridCol w:w="3213"/>
        <w:gridCol w:w="3213"/>
        <w:gridCol w:w="3213"/>
      </w:tblGrid>
      <w:tr>
        <w:tc>
          <w:tcPr>
            <w:tcW w:type="dxa" w:w="454"/>
            <w:shd w:val="clear" w:color="auto" w:fill="2D6A4F"/>
          </w:tcPr>
          <w:p>
            <w:pPr>
              <w:pStyle w:val="WS_TH"/>
              <w:spacing w:before="60" w:after="60"/>
            </w:pPr>
            <w:r>
              <w:rPr>
                <w:b/>
                <w:color w:val="FFFFFF"/>
              </w:rPr>
              <w:t>Step</w:t>
            </w:r>
          </w:p>
        </w:tc>
        <w:tc>
          <w:tcPr>
            <w:tcW w:type="dxa" w:w="4819"/>
            <w:shd w:val="clear" w:color="auto" w:fill="2D6A4F"/>
          </w:tcPr>
          <w:p>
            <w:pPr>
              <w:pStyle w:val="WS_TH"/>
              <w:spacing w:before="60" w:after="60"/>
            </w:pPr>
            <w:r>
              <w:rPr>
                <w:b/>
                <w:color w:val="FFFFFF"/>
              </w:rPr>
              <w:t>Action</w:t>
            </w:r>
          </w:p>
        </w:tc>
        <w:tc>
          <w:tcPr>
            <w:tcW w:type="dxa" w:w="4365"/>
            <w:shd w:val="clear" w:color="auto" w:fill="2D6A4F"/>
          </w:tcPr>
          <w:p>
            <w:pPr>
              <w:pStyle w:val="WS_TH"/>
              <w:spacing w:before="60" w:after="60"/>
            </w:pPr>
            <w:r>
              <w:rPr>
                <w:b/>
                <w:color w:val="FFFFFF"/>
              </w:rPr>
              <w:t>Sample/Method</w:t>
            </w:r>
          </w:p>
        </w:tc>
      </w:tr>
      <w:tr>
        <w:tc>
          <w:tcPr>
            <w:tcW w:type="dxa" w:w="454"/>
            <w:shd w:val="clear" w:color="auto" w:fill="FFFFFF"/>
          </w:tcPr>
          <w:p>
            <w:pPr>
              <w:pStyle w:val="WS_TD"/>
              <w:spacing w:before="40" w:after="40"/>
            </w:pPr>
            <w:r>
              <w:t>1</w:t>
            </w:r>
          </w:p>
        </w:tc>
        <w:tc>
          <w:tcPr>
            <w:tcW w:type="dxa" w:w="4819"/>
            <w:shd w:val="clear" w:color="auto" w:fill="FFFFFF"/>
          </w:tcPr>
          <w:p>
            <w:pPr>
              <w:pStyle w:val="WS_TD"/>
              <w:spacing w:before="40" w:after="40"/>
            </w:pPr>
            <w:r>
              <w:t>Monitor calves 1–8 years: check for lethargy, oedema, discoloured tongue daily</w:t>
            </w:r>
          </w:p>
        </w:tc>
        <w:tc>
          <w:tcPr>
            <w:tcW w:type="dxa" w:w="4365"/>
            <w:shd w:val="clear" w:color="auto" w:fill="FFFFFF"/>
          </w:tcPr>
          <w:p>
            <w:pPr>
              <w:pStyle w:val="WS_TD"/>
              <w:spacing w:before="40" w:after="40"/>
            </w:pPr>
            <w:r>
              <w:t>Clinical observation</w:t>
            </w:r>
          </w:p>
        </w:tc>
      </w:tr>
      <w:tr>
        <w:tc>
          <w:tcPr>
            <w:tcW w:type="dxa" w:w="454"/>
            <w:shd w:val="clear" w:color="auto" w:fill="EAF7EE"/>
          </w:tcPr>
          <w:p>
            <w:pPr>
              <w:pStyle w:val="WS_TD"/>
              <w:spacing w:before="40" w:after="40"/>
            </w:pPr>
            <w:r>
              <w:t>2</w:t>
            </w:r>
          </w:p>
        </w:tc>
        <w:tc>
          <w:tcPr>
            <w:tcW w:type="dxa" w:w="4819"/>
            <w:shd w:val="clear" w:color="auto" w:fill="EAF7EE"/>
          </w:tcPr>
          <w:p>
            <w:pPr>
              <w:pStyle w:val="WS_TD"/>
              <w:spacing w:before="40" w:after="40"/>
            </w:pPr>
            <w:r>
              <w:t>Collect EDTA blood at first clinical sign — do not delay</w:t>
            </w:r>
          </w:p>
        </w:tc>
        <w:tc>
          <w:tcPr>
            <w:tcW w:type="dxa" w:w="4365"/>
            <w:shd w:val="clear" w:color="auto" w:fill="EAF7EE"/>
          </w:tcPr>
          <w:p>
            <w:pPr>
              <w:pStyle w:val="WS_TD"/>
              <w:spacing w:before="40" w:after="40"/>
            </w:pPr>
            <w:r>
              <w:t>5–10 mL EDTA tube on ice</w:t>
            </w:r>
          </w:p>
        </w:tc>
      </w:tr>
      <w:tr>
        <w:tc>
          <w:tcPr>
            <w:tcW w:type="dxa" w:w="454"/>
            <w:shd w:val="clear" w:color="auto" w:fill="FFFFFF"/>
          </w:tcPr>
          <w:p>
            <w:pPr>
              <w:pStyle w:val="WS_TD"/>
              <w:spacing w:before="40" w:after="40"/>
            </w:pPr>
            <w:r>
              <w:t>3</w:t>
            </w:r>
          </w:p>
        </w:tc>
        <w:tc>
          <w:tcPr>
            <w:tcW w:type="dxa" w:w="4819"/>
            <w:shd w:val="clear" w:color="auto" w:fill="FFFFFF"/>
          </w:tcPr>
          <w:p>
            <w:pPr>
              <w:pStyle w:val="WS_TD"/>
              <w:spacing w:before="40" w:after="40"/>
            </w:pPr>
            <w:r>
              <w:t>Trunk wash (saline lavage) — collect in sterile container</w:t>
            </w:r>
          </w:p>
        </w:tc>
        <w:tc>
          <w:tcPr>
            <w:tcW w:type="dxa" w:w="4365"/>
            <w:shd w:val="clear" w:color="auto" w:fill="FFFFFF"/>
          </w:tcPr>
          <w:p>
            <w:pPr>
              <w:pStyle w:val="WS_TD"/>
              <w:spacing w:before="40" w:after="40"/>
            </w:pPr>
            <w:r>
              <w:t>10 mL saline; aspirate and collect</w:t>
            </w:r>
          </w:p>
        </w:tc>
      </w:tr>
      <w:tr>
        <w:tc>
          <w:tcPr>
            <w:tcW w:type="dxa" w:w="454"/>
            <w:shd w:val="clear" w:color="auto" w:fill="EAF7EE"/>
          </w:tcPr>
          <w:p>
            <w:pPr>
              <w:pStyle w:val="WS_TD"/>
              <w:spacing w:before="40" w:after="40"/>
            </w:pPr>
            <w:r>
              <w:t>4</w:t>
            </w:r>
          </w:p>
        </w:tc>
        <w:tc>
          <w:tcPr>
            <w:tcW w:type="dxa" w:w="4819"/>
            <w:shd w:val="clear" w:color="auto" w:fill="EAF7EE"/>
          </w:tcPr>
          <w:p>
            <w:pPr>
              <w:pStyle w:val="WS_TD"/>
              <w:spacing w:before="40" w:after="40"/>
            </w:pPr>
            <w:r>
              <w:t>Ship samples on ice to ICAR-IVRI Bareilly within 24 hrs</w:t>
            </w:r>
          </w:p>
        </w:tc>
        <w:tc>
          <w:tcPr>
            <w:tcW w:type="dxa" w:w="4365"/>
            <w:shd w:val="clear" w:color="auto" w:fill="EAF7EE"/>
          </w:tcPr>
          <w:p>
            <w:pPr>
              <w:pStyle w:val="WS_TD"/>
              <w:spacing w:before="40" w:after="40"/>
            </w:pPr>
            <w:r>
              <w:t>Cold chain mandatory</w:t>
            </w:r>
          </w:p>
        </w:tc>
      </w:tr>
      <w:tr>
        <w:tc>
          <w:tcPr>
            <w:tcW w:type="dxa" w:w="454"/>
            <w:shd w:val="clear" w:color="auto" w:fill="FFFFFF"/>
          </w:tcPr>
          <w:p>
            <w:pPr>
              <w:pStyle w:val="WS_TD"/>
              <w:spacing w:before="40" w:after="40"/>
            </w:pPr>
            <w:r>
              <w:t>5</w:t>
            </w:r>
          </w:p>
        </w:tc>
        <w:tc>
          <w:tcPr>
            <w:tcW w:type="dxa" w:w="4819"/>
            <w:shd w:val="clear" w:color="auto" w:fill="FFFFFF"/>
          </w:tcPr>
          <w:p>
            <w:pPr>
              <w:pStyle w:val="WS_TD"/>
              <w:spacing w:before="40" w:after="40"/>
            </w:pPr>
            <w:r>
              <w:t>At PM: collect spleen, lymph node, heart, liver in 10% NBF and RNAlater</w:t>
            </w:r>
          </w:p>
        </w:tc>
        <w:tc>
          <w:tcPr>
            <w:tcW w:type="dxa" w:w="4365"/>
            <w:shd w:val="clear" w:color="auto" w:fill="FFFFFF"/>
          </w:tcPr>
          <w:p>
            <w:pPr>
              <w:pStyle w:val="WS_TD"/>
              <w:spacing w:before="40" w:after="40"/>
            </w:pPr>
            <w:r>
              <w:t>Fixed + fresh tissue</w:t>
            </w:r>
          </w:p>
        </w:tc>
      </w:tr>
      <w:tr>
        <w:tc>
          <w:tcPr>
            <w:tcW w:type="dxa" w:w="454"/>
            <w:shd w:val="clear" w:color="auto" w:fill="EAF7EE"/>
          </w:tcPr>
          <w:p>
            <w:pPr>
              <w:pStyle w:val="WS_TD"/>
              <w:spacing w:before="40" w:after="40"/>
            </w:pPr>
            <w:r>
              <w:t>6</w:t>
            </w:r>
          </w:p>
        </w:tc>
        <w:tc>
          <w:tcPr>
            <w:tcW w:type="dxa" w:w="4819"/>
            <w:shd w:val="clear" w:color="auto" w:fill="EAF7EE"/>
          </w:tcPr>
          <w:p>
            <w:pPr>
              <w:pStyle w:val="WS_TD"/>
              <w:spacing w:before="40" w:after="40"/>
            </w:pPr>
            <w:r>
              <w:t>Run qPCR for EEHV1A, 1B, 4, 5, 6 subtypes</w:t>
            </w:r>
          </w:p>
        </w:tc>
        <w:tc>
          <w:tcPr>
            <w:tcW w:type="dxa" w:w="4365"/>
            <w:shd w:val="clear" w:color="auto" w:fill="EAF7EE"/>
          </w:tcPr>
          <w:p>
            <w:pPr>
              <w:pStyle w:val="WS_TD"/>
              <w:spacing w:before="40" w:after="40"/>
            </w:pPr>
            <w:r>
              <w:t>ICAR-IVRI diagnostic lab</w:t>
            </w:r>
          </w:p>
        </w:tc>
      </w:tr>
      <w:tr>
        <w:tc>
          <w:tcPr>
            <w:tcW w:type="dxa" w:w="454"/>
            <w:shd w:val="clear" w:color="auto" w:fill="FFFFFF"/>
          </w:tcPr>
          <w:p>
            <w:pPr>
              <w:pStyle w:val="WS_TD"/>
              <w:spacing w:before="40" w:after="40"/>
            </w:pPr>
            <w:r>
              <w:t>7</w:t>
            </w:r>
          </w:p>
        </w:tc>
        <w:tc>
          <w:tcPr>
            <w:tcW w:type="dxa" w:w="4819"/>
            <w:shd w:val="clear" w:color="auto" w:fill="FFFFFF"/>
          </w:tcPr>
          <w:p>
            <w:pPr>
              <w:pStyle w:val="WS_TD"/>
              <w:spacing w:before="40" w:after="40"/>
            </w:pPr>
            <w:r>
              <w:t>Document GPS coordinates, herd composition, other calves in contact</w:t>
            </w:r>
          </w:p>
        </w:tc>
        <w:tc>
          <w:tcPr>
            <w:tcW w:type="dxa" w:w="4365"/>
            <w:shd w:val="clear" w:color="auto" w:fill="FFFFFF"/>
          </w:tcPr>
          <w:p>
            <w:pPr>
              <w:pStyle w:val="WS_TD"/>
              <w:spacing w:before="40" w:after="40"/>
            </w:pPr>
            <w:r>
              <w:t>Field report + photographs</w:t>
            </w:r>
          </w:p>
        </w:tc>
      </w:tr>
    </w:tbl>
    <w:p/>
    <w:tbl>
      <w:tblPr>
        <w:tblStyle w:val="TableGrid"/>
        <w:tblW w:type="auto" w:w="0"/>
        <w:tblLook w:firstColumn="1" w:firstRow="1" w:lastColumn="0" w:lastRow="0" w:noHBand="0" w:noVBand="1" w:val="04A0"/>
      </w:tblPr>
      <w:tblGrid>
        <w:gridCol w:w="9638"/>
      </w:tblGrid>
      <w:tr>
        <w:tc>
          <w:tcPr>
            <w:tcW w:type="dxa" w:w="9638"/>
            <w:shd w:val="clear" w:color="auto" w:fill="2D6A4F"/>
          </w:tcPr>
          <w:p>
            <w:pPr>
              <w:pStyle w:val="WS_H1"/>
              <w:spacing w:before="40" w:after="40"/>
            </w:pPr>
            <w:r>
              <w:rPr>
                <w:b/>
                <w:color w:val="FFFFFF"/>
              </w:rPr>
              <w:t>6. Zoonotic Disease Risk at Necropsy — Safety Summary</w:t>
            </w:r>
          </w:p>
        </w:tc>
      </w:tr>
    </w:tbl>
    <w:p/>
    <w:tbl>
      <w:tblPr>
        <w:tblStyle w:val="TableGrid"/>
        <w:tblW w:type="auto" w:w="0"/>
        <w:tblLook w:firstColumn="1" w:firstRow="1" w:lastColumn="0" w:lastRow="0" w:noHBand="0" w:noVBand="1" w:val="04A0"/>
      </w:tblPr>
      <w:tblGrid>
        <w:gridCol w:w="9638"/>
      </w:tblGrid>
      <w:tr>
        <w:tc>
          <w:tcPr>
            <w:tcW w:type="dxa" w:w="9638"/>
            <w:shd w:val="clear" w:color="auto" w:fill="FADBD8"/>
          </w:tcPr>
          <w:p>
            <w:pPr>
              <w:spacing w:before="80" w:after="80"/>
            </w:pPr>
            <w:r>
              <w:rPr>
                <w:b/>
                <w:color w:val="C0392B"/>
                <w:sz w:val="18"/>
              </w:rPr>
              <w:t>ALL elephant necropsies carry zoonotic risk. PPE is NON-NEGOTIABLE: gloves (double), N95 mask, eye protection, gown, boot covers. Wash hands with soap + disinfect with 70% alcohol after every PM.</w:t>
            </w:r>
          </w:p>
        </w:tc>
      </w:tr>
    </w:tbl>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color="auto" w:fill="2D6A4F"/>
          </w:tcPr>
          <w:p>
            <w:pPr>
              <w:pStyle w:val="WS_TH"/>
              <w:spacing w:before="60" w:after="60"/>
            </w:pPr>
            <w:r>
              <w:rPr>
                <w:b/>
                <w:color w:val="FFFFFF"/>
              </w:rPr>
              <w:t>Disease</w:t>
            </w:r>
          </w:p>
        </w:tc>
        <w:tc>
          <w:tcPr>
            <w:tcW w:type="dxa" w:w="1417"/>
            <w:shd w:val="clear" w:color="auto" w:fill="2D6A4F"/>
          </w:tcPr>
          <w:p>
            <w:pPr>
              <w:pStyle w:val="WS_TH"/>
              <w:spacing w:before="60" w:after="60"/>
            </w:pPr>
            <w:r>
              <w:rPr>
                <w:b/>
                <w:color w:val="FFFFFF"/>
              </w:rPr>
              <w:t>Risk Level</w:t>
            </w:r>
          </w:p>
        </w:tc>
        <w:tc>
          <w:tcPr>
            <w:tcW w:type="dxa" w:w="2835"/>
            <w:shd w:val="clear" w:color="auto" w:fill="2D6A4F"/>
          </w:tcPr>
          <w:p>
            <w:pPr>
              <w:pStyle w:val="WS_TH"/>
              <w:spacing w:before="60" w:after="60"/>
            </w:pPr>
            <w:r>
              <w:rPr>
                <w:b/>
                <w:color w:val="FFFFFF"/>
              </w:rPr>
              <w:t>Route of Transmission</w:t>
            </w:r>
          </w:p>
        </w:tc>
        <w:tc>
          <w:tcPr>
            <w:tcW w:type="dxa" w:w="3402"/>
            <w:shd w:val="clear" w:color="auto" w:fill="2D6A4F"/>
          </w:tcPr>
          <w:p>
            <w:pPr>
              <w:pStyle w:val="WS_TH"/>
              <w:spacing w:before="60" w:after="60"/>
            </w:pPr>
            <w:r>
              <w:rPr>
                <w:b/>
                <w:color w:val="FFFFFF"/>
              </w:rPr>
              <w:t>PPE Required</w:t>
            </w:r>
          </w:p>
        </w:tc>
      </w:tr>
      <w:tr>
        <w:tc>
          <w:tcPr>
            <w:tcW w:type="dxa" w:w="1984"/>
            <w:shd w:val="clear" w:color="auto" w:fill="FFFFFF"/>
          </w:tcPr>
          <w:p>
            <w:pPr>
              <w:pStyle w:val="WS_TD"/>
              <w:spacing w:before="40" w:after="40"/>
            </w:pPr>
            <w:r>
              <w:t>Tuberculosis</w:t>
            </w:r>
          </w:p>
        </w:tc>
        <w:tc>
          <w:tcPr>
            <w:tcW w:type="dxa" w:w="1417"/>
            <w:shd w:val="clear" w:color="auto" w:fill="FFFFFF"/>
          </w:tcPr>
          <w:p>
            <w:pPr>
              <w:pStyle w:val="WS_TD"/>
              <w:spacing w:before="40" w:after="40"/>
            </w:pPr>
            <w:r>
              <w:t>HIGH</w:t>
            </w:r>
          </w:p>
        </w:tc>
        <w:tc>
          <w:tcPr>
            <w:tcW w:type="dxa" w:w="2835"/>
            <w:shd w:val="clear" w:color="auto" w:fill="FFFFFF"/>
          </w:tcPr>
          <w:p>
            <w:pPr>
              <w:pStyle w:val="WS_TD"/>
              <w:spacing w:before="40" w:after="40"/>
            </w:pPr>
            <w:r>
              <w:t>Aerosol from trunk secretions, breath</w:t>
            </w:r>
          </w:p>
        </w:tc>
        <w:tc>
          <w:tcPr>
            <w:tcW w:type="dxa" w:w="3402"/>
            <w:shd w:val="clear" w:color="auto" w:fill="FFFFFF"/>
          </w:tcPr>
          <w:p>
            <w:pPr>
              <w:pStyle w:val="WS_TD"/>
              <w:spacing w:before="40" w:after="40"/>
            </w:pPr>
            <w:r>
              <w:t>N95 mask, full PPE, BSL-3 sample handling</w:t>
            </w:r>
          </w:p>
        </w:tc>
      </w:tr>
      <w:tr>
        <w:tc>
          <w:tcPr>
            <w:tcW w:type="dxa" w:w="1984"/>
            <w:shd w:val="clear" w:color="auto" w:fill="EAF7EE"/>
          </w:tcPr>
          <w:p>
            <w:pPr>
              <w:pStyle w:val="WS_TD"/>
              <w:spacing w:before="40" w:after="40"/>
            </w:pPr>
            <w:r>
              <w:t>Anthrax</w:t>
            </w:r>
          </w:p>
        </w:tc>
        <w:tc>
          <w:tcPr>
            <w:tcW w:type="dxa" w:w="1417"/>
            <w:shd w:val="clear" w:color="auto" w:fill="EAF7EE"/>
          </w:tcPr>
          <w:p>
            <w:pPr>
              <w:pStyle w:val="WS_TD"/>
              <w:spacing w:before="40" w:after="40"/>
            </w:pPr>
            <w:r>
              <w:t>EXTREME</w:t>
            </w:r>
          </w:p>
        </w:tc>
        <w:tc>
          <w:tcPr>
            <w:tcW w:type="dxa" w:w="2835"/>
            <w:shd w:val="clear" w:color="auto" w:fill="EAF7EE"/>
          </w:tcPr>
          <w:p>
            <w:pPr>
              <w:pStyle w:val="WS_TD"/>
              <w:spacing w:before="40" w:after="40"/>
            </w:pPr>
            <w:r>
              <w:t>Cutaneous contact, aerosol, ingestion</w:t>
            </w:r>
          </w:p>
        </w:tc>
        <w:tc>
          <w:tcPr>
            <w:tcW w:type="dxa" w:w="3402"/>
            <w:shd w:val="clear" w:color="auto" w:fill="EAF7EE"/>
          </w:tcPr>
          <w:p>
            <w:pPr>
              <w:pStyle w:val="WS_TD"/>
              <w:spacing w:before="40" w:after="40"/>
            </w:pPr>
            <w:r>
              <w:t>Do NOT open — call for specialist support</w:t>
            </w:r>
          </w:p>
        </w:tc>
      </w:tr>
      <w:tr>
        <w:tc>
          <w:tcPr>
            <w:tcW w:type="dxa" w:w="1984"/>
            <w:shd w:val="clear" w:color="auto" w:fill="FFFFFF"/>
          </w:tcPr>
          <w:p>
            <w:pPr>
              <w:pStyle w:val="WS_TD"/>
              <w:spacing w:before="40" w:after="40"/>
            </w:pPr>
            <w:r>
              <w:t>Elephant Pox</w:t>
            </w:r>
          </w:p>
        </w:tc>
        <w:tc>
          <w:tcPr>
            <w:tcW w:type="dxa" w:w="1417"/>
            <w:shd w:val="clear" w:color="auto" w:fill="FFFFFF"/>
          </w:tcPr>
          <w:p>
            <w:pPr>
              <w:pStyle w:val="WS_TD"/>
              <w:spacing w:before="40" w:after="40"/>
            </w:pPr>
            <w:r>
              <w:t>MODERATE</w:t>
            </w:r>
          </w:p>
        </w:tc>
        <w:tc>
          <w:tcPr>
            <w:tcW w:type="dxa" w:w="2835"/>
            <w:shd w:val="clear" w:color="auto" w:fill="FFFFFF"/>
          </w:tcPr>
          <w:p>
            <w:pPr>
              <w:pStyle w:val="WS_TD"/>
              <w:spacing w:before="40" w:after="40"/>
            </w:pPr>
            <w:r>
              <w:t>Direct contact with lesions</w:t>
            </w:r>
          </w:p>
        </w:tc>
        <w:tc>
          <w:tcPr>
            <w:tcW w:type="dxa" w:w="3402"/>
            <w:shd w:val="clear" w:color="auto" w:fill="FFFFFF"/>
          </w:tcPr>
          <w:p>
            <w:pPr>
              <w:pStyle w:val="WS_TD"/>
              <w:spacing w:before="40" w:after="40"/>
            </w:pPr>
            <w:r>
              <w:t>Gloves, eye protection</w:t>
            </w:r>
          </w:p>
        </w:tc>
      </w:tr>
      <w:tr>
        <w:tc>
          <w:tcPr>
            <w:tcW w:type="dxa" w:w="1984"/>
            <w:shd w:val="clear" w:color="auto" w:fill="EAF7EE"/>
          </w:tcPr>
          <w:p>
            <w:pPr>
              <w:pStyle w:val="WS_TD"/>
              <w:spacing w:before="40" w:after="40"/>
            </w:pPr>
            <w:r>
              <w:t>Salmonellosis</w:t>
            </w:r>
          </w:p>
        </w:tc>
        <w:tc>
          <w:tcPr>
            <w:tcW w:type="dxa" w:w="1417"/>
            <w:shd w:val="clear" w:color="auto" w:fill="EAF7EE"/>
          </w:tcPr>
          <w:p>
            <w:pPr>
              <w:pStyle w:val="WS_TD"/>
              <w:spacing w:before="40" w:after="40"/>
            </w:pPr>
            <w:r>
              <w:t>LOW-MOD</w:t>
            </w:r>
          </w:p>
        </w:tc>
        <w:tc>
          <w:tcPr>
            <w:tcW w:type="dxa" w:w="2835"/>
            <w:shd w:val="clear" w:color="auto" w:fill="EAF7EE"/>
          </w:tcPr>
          <w:p>
            <w:pPr>
              <w:pStyle w:val="WS_TD"/>
              <w:spacing w:before="40" w:after="40"/>
            </w:pPr>
            <w:r>
              <w:t>Faecal-oral contamination</w:t>
            </w:r>
          </w:p>
        </w:tc>
        <w:tc>
          <w:tcPr>
            <w:tcW w:type="dxa" w:w="3402"/>
            <w:shd w:val="clear" w:color="auto" w:fill="EAF7EE"/>
          </w:tcPr>
          <w:p>
            <w:pPr>
              <w:pStyle w:val="WS_TD"/>
              <w:spacing w:before="40" w:after="40"/>
            </w:pPr>
            <w:r>
              <w:t>Gloves, hand hygiene</w:t>
            </w:r>
          </w:p>
        </w:tc>
      </w:tr>
      <w:tr>
        <w:tc>
          <w:tcPr>
            <w:tcW w:type="dxa" w:w="1984"/>
            <w:shd w:val="clear" w:color="auto" w:fill="FFFFFF"/>
          </w:tcPr>
          <w:p>
            <w:pPr>
              <w:pStyle w:val="WS_TD"/>
              <w:spacing w:before="40" w:after="40"/>
            </w:pPr>
            <w:r>
              <w:t>Leptospirosis</w:t>
            </w:r>
          </w:p>
        </w:tc>
        <w:tc>
          <w:tcPr>
            <w:tcW w:type="dxa" w:w="1417"/>
            <w:shd w:val="clear" w:color="auto" w:fill="FFFFFF"/>
          </w:tcPr>
          <w:p>
            <w:pPr>
              <w:pStyle w:val="WS_TD"/>
              <w:spacing w:before="40" w:after="40"/>
            </w:pPr>
            <w:r>
              <w:t>MODERATE</w:t>
            </w:r>
          </w:p>
        </w:tc>
        <w:tc>
          <w:tcPr>
            <w:tcW w:type="dxa" w:w="2835"/>
            <w:shd w:val="clear" w:color="auto" w:fill="FFFFFF"/>
          </w:tcPr>
          <w:p>
            <w:pPr>
              <w:pStyle w:val="WS_TD"/>
              <w:spacing w:before="40" w:after="40"/>
            </w:pPr>
            <w:r>
              <w:t>Urine, kidney tissue contact</w:t>
            </w:r>
          </w:p>
        </w:tc>
        <w:tc>
          <w:tcPr>
            <w:tcW w:type="dxa" w:w="3402"/>
            <w:shd w:val="clear" w:color="auto" w:fill="FFFFFF"/>
          </w:tcPr>
          <w:p>
            <w:pPr>
              <w:pStyle w:val="WS_TD"/>
              <w:spacing w:before="40" w:after="40"/>
            </w:pPr>
            <w:r>
              <w:t>Waterproof gloves, eye shield</w:t>
            </w:r>
          </w:p>
        </w:tc>
      </w:tr>
      <w:tr>
        <w:tc>
          <w:tcPr>
            <w:tcW w:type="dxa" w:w="1984"/>
            <w:shd w:val="clear" w:color="auto" w:fill="EAF7EE"/>
          </w:tcPr>
          <w:p>
            <w:pPr>
              <w:pStyle w:val="WS_TD"/>
              <w:spacing w:before="40" w:after="40"/>
            </w:pPr>
            <w:r>
              <w:t>EEHV</w:t>
            </w:r>
          </w:p>
        </w:tc>
        <w:tc>
          <w:tcPr>
            <w:tcW w:type="dxa" w:w="1417"/>
            <w:shd w:val="clear" w:color="auto" w:fill="EAF7EE"/>
          </w:tcPr>
          <w:p>
            <w:pPr>
              <w:pStyle w:val="WS_TD"/>
              <w:spacing w:before="40" w:after="40"/>
            </w:pPr>
            <w:r>
              <w:t>NONE (humans)</w:t>
            </w:r>
          </w:p>
        </w:tc>
        <w:tc>
          <w:tcPr>
            <w:tcW w:type="dxa" w:w="2835"/>
            <w:shd w:val="clear" w:color="auto" w:fill="EAF7EE"/>
          </w:tcPr>
          <w:p>
            <w:pPr>
              <w:pStyle w:val="WS_TD"/>
              <w:spacing w:before="40" w:after="40"/>
            </w:pPr>
            <w:r>
              <w:t>Not zoonotic</w:t>
            </w:r>
          </w:p>
        </w:tc>
        <w:tc>
          <w:tcPr>
            <w:tcW w:type="dxa" w:w="3402"/>
            <w:shd w:val="clear" w:color="auto" w:fill="EAF7EE"/>
          </w:tcPr>
          <w:p>
            <w:pPr>
              <w:pStyle w:val="WS_TD"/>
              <w:spacing w:before="40" w:after="40"/>
            </w:pPr>
            <w:r>
              <w:t>Standard gloves only for EEHV cases</w:t>
            </w:r>
          </w:p>
        </w:tc>
      </w:tr>
    </w:tbl>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_Title">
    <w:name w:val="WS_Title"/>
    <w:basedOn w:val="Normal"/>
    <w:pPr>
      <w:spacing w:before="0" w:after="80"/>
      <w:jc w:val="center"/>
    </w:pPr>
    <w:rPr>
      <w:rFonts w:ascii="Calibri" w:hAnsi="Calibri"/>
      <w:b/>
      <w:i w:val="0"/>
      <w:color w:val="FFFFFF"/>
      <w:sz w:val="36"/>
    </w:rPr>
  </w:style>
  <w:style w:type="paragraph" w:customStyle="1" w:styleId="WS_Sub">
    <w:name w:val="WS_Sub"/>
    <w:basedOn w:val="Normal"/>
    <w:pPr>
      <w:spacing w:before="0" w:after="40"/>
      <w:jc w:val="center"/>
    </w:pPr>
    <w:rPr>
      <w:rFonts w:ascii="Calibri" w:hAnsi="Calibri"/>
      <w:b w:val="0"/>
      <w:i/>
      <w:color w:val="D8F3DC"/>
      <w:sz w:val="20"/>
    </w:rPr>
  </w:style>
  <w:style w:type="paragraph" w:customStyle="1" w:styleId="WS_H1">
    <w:name w:val="WS_H1"/>
    <w:basedOn w:val="Normal"/>
    <w:pPr>
      <w:spacing w:before="160" w:after="40"/>
    </w:pPr>
    <w:rPr>
      <w:rFonts w:ascii="Calibri" w:hAnsi="Calibri"/>
      <w:b/>
      <w:i w:val="0"/>
      <w:color w:val="FFFFFF"/>
      <w:sz w:val="22"/>
    </w:rPr>
  </w:style>
  <w:style w:type="paragraph" w:customStyle="1" w:styleId="WS_H2">
    <w:name w:val="WS_H2"/>
    <w:basedOn w:val="Normal"/>
    <w:pPr>
      <w:spacing w:before="120" w:after="40"/>
    </w:pPr>
    <w:rPr>
      <w:rFonts w:ascii="Calibri" w:hAnsi="Calibri"/>
      <w:b/>
      <w:i w:val="0"/>
      <w:color w:val="1B4332"/>
      <w:sz w:val="20"/>
    </w:rPr>
  </w:style>
  <w:style w:type="paragraph" w:customStyle="1" w:styleId="WS_Body">
    <w:name w:val="WS_Body"/>
    <w:basedOn w:val="Normal"/>
    <w:pPr>
      <w:spacing w:before="0" w:after="80"/>
    </w:pPr>
    <w:rPr>
      <w:rFonts w:ascii="Calibri" w:hAnsi="Calibri"/>
      <w:b w:val="0"/>
      <w:i w:val="0"/>
      <w:color w:val="1A1A1A"/>
      <w:sz w:val="19"/>
    </w:rPr>
  </w:style>
  <w:style w:type="paragraph" w:customStyle="1" w:styleId="WS_Bold">
    <w:name w:val="WS_Bold"/>
    <w:basedOn w:val="Normal"/>
    <w:pPr>
      <w:spacing w:before="0" w:after="80"/>
    </w:pPr>
    <w:rPr>
      <w:rFonts w:ascii="Calibri" w:hAnsi="Calibri"/>
      <w:b/>
      <w:i w:val="0"/>
      <w:color w:val="1A1A1A"/>
      <w:sz w:val="19"/>
    </w:rPr>
  </w:style>
  <w:style w:type="paragraph" w:customStyle="1" w:styleId="WS_Bullet">
    <w:name w:val="WS_Bullet"/>
    <w:basedOn w:val="Normal"/>
    <w:pPr>
      <w:spacing w:before="0" w:after="40"/>
    </w:pPr>
    <w:rPr>
      <w:rFonts w:ascii="Calibri" w:hAnsi="Calibri"/>
      <w:b w:val="0"/>
      <w:i w:val="0"/>
      <w:color w:val="1A1A1A"/>
      <w:sz w:val="18"/>
    </w:rPr>
  </w:style>
  <w:style w:type="paragraph" w:customStyle="1" w:styleId="WS_Caption">
    <w:name w:val="WS_Caption"/>
    <w:basedOn w:val="Normal"/>
    <w:pPr>
      <w:spacing w:before="0" w:after="80"/>
      <w:jc w:val="center"/>
    </w:pPr>
    <w:rPr>
      <w:rFonts w:ascii="Calibri" w:hAnsi="Calibri"/>
      <w:b w:val="0"/>
      <w:i/>
      <w:color w:val="555555"/>
      <w:sz w:val="16"/>
    </w:rPr>
  </w:style>
  <w:style w:type="paragraph" w:customStyle="1" w:styleId="WS_TH">
    <w:name w:val="WS_TH"/>
    <w:basedOn w:val="Normal"/>
    <w:pPr>
      <w:spacing w:before="0" w:after="0"/>
      <w:jc w:val="center"/>
    </w:pPr>
    <w:rPr>
      <w:rFonts w:ascii="Calibri" w:hAnsi="Calibri"/>
      <w:b/>
      <w:i w:val="0"/>
      <w:color w:val="FFFFFF"/>
      <w:sz w:val="17"/>
    </w:rPr>
  </w:style>
  <w:style w:type="paragraph" w:customStyle="1" w:styleId="WS_TD">
    <w:name w:val="WS_TD"/>
    <w:basedOn w:val="Normal"/>
    <w:pPr>
      <w:spacing w:before="0" w:after="0"/>
    </w:pPr>
    <w:rPr>
      <w:rFonts w:ascii="Calibri" w:hAnsi="Calibri"/>
      <w:b w:val="0"/>
      <w:i w:val="0"/>
      <w:color w:val="1A1A1A"/>
      <w:sz w:val="17"/>
    </w:rPr>
  </w:style>
  <w:style w:type="paragraph" w:customStyle="1" w:styleId="WS_TDC">
    <w:name w:val="WS_TDC"/>
    <w:basedOn w:val="Normal"/>
    <w:pPr>
      <w:spacing w:before="0" w:after="0"/>
      <w:jc w:val="center"/>
    </w:pPr>
    <w:rPr>
      <w:rFonts w:ascii="Calibri" w:hAnsi="Calibri"/>
      <w:b w:val="0"/>
      <w:i w:val="0"/>
      <w:color w:val="1A1A1A"/>
      <w:sz w:val="17"/>
    </w:rPr>
  </w:style>
  <w:style w:type="paragraph" w:customStyle="1" w:styleId="WS_TDB">
    <w:name w:val="WS_TDB"/>
    <w:basedOn w:val="Normal"/>
    <w:pPr>
      <w:spacing w:before="0" w:after="0"/>
    </w:pPr>
    <w:rPr>
      <w:rFonts w:ascii="Calibri" w:hAnsi="Calibri"/>
      <w:b/>
      <w:i w:val="0"/>
      <w:color w:val="1B4332"/>
      <w:sz w:val="17"/>
    </w:rPr>
  </w:style>
  <w:style w:type="paragraph" w:customStyle="1" w:styleId="WS_Note">
    <w:name w:val="WS_Note"/>
    <w:basedOn w:val="Normal"/>
    <w:pPr>
      <w:spacing w:before="0" w:after="60"/>
    </w:pPr>
    <w:rPr>
      <w:rFonts w:ascii="Calibri" w:hAnsi="Calibri"/>
      <w:b w:val="0"/>
      <w:i/>
      <w:color w:val="C0392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Infectious Diseases of Asian Elephants</dc:title>
  <dc:subject/>
  <dc:creator>Chhattisgarh Forest Department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