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pStyle w:val="WS_Title"/>
              <w:spacing w:before="120" w:after="120"/>
            </w:pPr>
            <w:r>
              <w:rPr>
                <w:color w:val="52B788"/>
                <w:sz w:val="16"/>
              </w:rPr>
              <w:t>CHAPTER 4</w:t>
            </w:r>
            <w:r>
              <w:br/>
            </w:r>
            <w:r>
              <w:rPr>
                <w:b/>
                <w:color w:val="FFFFFF"/>
                <w:sz w:val="32"/>
              </w:rPr>
              <w:t>Collection of Biological Materials for Wildlife Disease Diagnosis</w:t>
            </w:r>
            <w:r>
              <w:br/>
            </w:r>
            <w:r>
              <w:rPr>
                <w:i/>
                <w:color w:val="D8F3DC"/>
                <w:sz w:val="19"/>
              </w:rPr>
              <w:t>Sampling Protocols, Preservation, Packing &amp; Referral</w:t>
            </w:r>
            <w:r>
              <w:br/>
              <w:br/>
            </w:r>
            <w:r>
              <w:rPr>
                <w:color w:val="D8F3DC"/>
                <w:sz w:val="17"/>
              </w:rPr>
              <w:t>Dr. M. Karikalan  |  ICAR-IVRI, Bareilly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1. Why We Collect Biological Materials — The Diagnostic Pipeline</w:t>
            </w:r>
          </w:p>
        </w:tc>
      </w:tr>
    </w:tbl>
    <w:p/>
    <w:p>
      <w:pPr>
        <w:pStyle w:val="WS_Body"/>
      </w:pPr>
      <w:r>
        <w:t>Biological samples are the irreplaceable foundation of wildlife disease diagnosis. Without properly collected, preserved, and transported samples, even the most advanced laboratory cannot establish a definitive cause of death. The diagnostic pipeline runs: Field observation → Sample collection → Chain of custody → Laboratory analysis → Definitive diagnosis → Management 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b/>
                <w:color w:val="1B4332"/>
                <w:sz w:val="18"/>
              </w:rPr>
              <w:t>RULE 1: Collect early — within 6 hrs of death ideally. RULE 2: Collect widely — minimum 15+ sample types per case. RULE 3: Label everything — sample ID, date, GPS, animal ID on every tube.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How Disease Shows Up: Gene → Gross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4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What Changes</w:t>
            </w:r>
          </w:p>
        </w:tc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Detected By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Gene/Molecule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DNA mutation, protein dysfunction, toxin binding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PCR, sequencing, ELISA, LC-MS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Cell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Degeneration, necrosis, inclusion bodies, inflammation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Histopathology (H&amp;E staining)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Tissue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Haemorrhage, necrosis, infarct, oedema, abscess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Gross PM + histopathology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Organ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Size change, colour, texture, weight abnormality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Gross PM + organ weight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Animal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Clinical signs: fever, weakness, discharge, behavioural change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Clinical examination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2. Master Sample-Collection Table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b/>
                <w:color w:val="1B4332"/>
                <w:sz w:val="18"/>
              </w:rPr>
              <w:t>Collect ALL sample types listed below from EVERY elephant PM — even if cause seems obvious. Multiple samples prevent diagnostic gaps when unexpected findings emerge.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Sample Type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Volume/Amount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Preservation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Tests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EDTA Blood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5–10 mL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Purple-top tube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Ice (4°C) — DO NOT freeze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CBC, PCR (EEHV, TB), haematology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Serum (clotted blood)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10 mL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Red-top tube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Centrifuge → freeze serum at -20°C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Serology, ELISA, biochemistry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Urine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20–50 mL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Sterile container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Refrigerate or freeze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Urinalysis, toxicology, leptospira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Nasal/Trunk Swab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2 swabs per site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Viral transport medium (VTM)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Ice — ship within 24 hrs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EEHV, Herpesvirus, Influenza PCR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Faecal Sample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30–50 g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Sterile container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Refrigerate; fix portion in 10% formalin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Parasitology, bacteriology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Lung tissue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5 × 5 cm block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Zip-lock bag (fresh) + NBF jar (fixed)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-20°C fresh; RT in NBF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Histopath, bacteriology, virology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Liver tissue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5 × 5 cm block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Same as lung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-20°C fresh; RT in NBF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Histopath, toxicology, bacteriology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Spleen tissue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5 × 5 cm block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Same as lung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-20°C fresh; RT in NBF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PCR (EEHV, TB), histopath, culture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Kidney tissue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5 × 5 cm block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Same as lung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-20°C fresh; RT in NBF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Histopath, leptospira, toxicology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Heart tissue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5 × 5 cm block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Same as lung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-20°C fresh; RT in NBF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EMCV, bacterial culture, histopath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Lymph node (mesenteric)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1–2 nodes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Same as above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-20°C fresh; RT in NBF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TB, EEHV, bacterial culture, histo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Brain tissue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Half brain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NBF (fixed) + fresh in zip-lock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-20°C fresh; RT in NBF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Rabies (fresh), histopath, NiV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Bone marrow (femur/rib)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5–10 mL aspirate or bone fragment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EDTA tube or zip-lock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Freeze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Diatom test, haematology, toxicology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Stomach contents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100–200 mL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Sterile wide-mouth jar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Freeze at -20°C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Toxicology (pesticide, metal, alkaloid)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Water/soil sample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500 mL water; 200 g soil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Sterile bottles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Refrigerate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Environmental toxicology, arsenic, heavy metals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3. Histopathological Examination Protocol</w:t>
            </w:r>
          </w:p>
        </w:tc>
      </w:tr>
    </w:tbl>
    <w:p/>
    <w:p>
      <w:pPr>
        <w:pStyle w:val="WS_Body"/>
      </w:pPr>
      <w:r>
        <w:t>10% Neutral Buffered Formalin (NBF) Recipe: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1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40% Formaldehyde solution (formalin)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100 mL</w:t>
            </w:r>
          </w:p>
        </w:tc>
      </w:tr>
      <w:tr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Sodium dihydrogen phosphate monohydrate (NaH₂PO₄·H₂O)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3.5 g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Disodium hydrogen phosphate anhydrous (Na₂HPO₄)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6.5 g</w:t>
            </w:r>
          </w:p>
        </w:tc>
      </w:tr>
      <w:tr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Distilled water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Make up to 1,000 mL (1 litre)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Final pH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7.0–7.4 (neutral)</w:t>
            </w:r>
          </w:p>
        </w:tc>
      </w:tr>
      <w:tr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Tissue:Formalin ratio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1:10 (1 part tissue to 10 parts formalin)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Tissue thickness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Maximum 1 cm slices for adequate penetration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b/>
                <w:color w:val="1B4332"/>
                <w:sz w:val="18"/>
              </w:rPr>
              <w:t>CRITICAL: Tissue in formalin is fixed permanently within 24–48 hrs. Too little formalin → autolysis in centre. Too thick → formalin does not penetrate. Slice tissue to 1 cm max thickness before fixing.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4. Toxicological Sampling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Sample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3969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Target Toxins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Stomach/rumen contents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100–200 mL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Sterile jar — freeze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All toxins — primary sample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Liver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100–200 g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Zip-lock — freeze</w:t>
            </w:r>
          </w:p>
        </w:tc>
        <w:tc>
          <w:tcPr>
            <w:tcW w:type="dxa" w:w="39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Metals, organochlorine, alkaloids, CPA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Kidney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50–100 g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Zip-lock — freeze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Heavy metals (Pb, Hg, Cd, As)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Blood (EDTA)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10 mL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EDTA — freeze</w:t>
            </w:r>
          </w:p>
        </w:tc>
        <w:tc>
          <w:tcPr>
            <w:tcW w:type="dxa" w:w="39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Organophosphate, nitrate, anticoagulants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Urine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50 mL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Sterile — freeze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Metals, pesticide metabolites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Bone marrow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5–10 g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Zip-lock — freeze</w:t>
            </w:r>
          </w:p>
        </w:tc>
        <w:tc>
          <w:tcPr>
            <w:tcW w:type="dxa" w:w="39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Chronic heavy metal exposure (Pb, Hg)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Feed/fodder sample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500 g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Zip-lock — freeze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Mycotoxins (CPA, aflatoxin), pesticide residues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Water sample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500 mL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Sterile bottle</w:t>
            </w:r>
          </w:p>
        </w:tc>
        <w:tc>
          <w:tcPr>
            <w:tcW w:type="dxa" w:w="39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Arsenic, cyanobacterial toxins, nitrate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Soil sample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200 g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Sterile bag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Arsenic, persistent organic pollutants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b/>
                <w:color w:val="1B4332"/>
                <w:sz w:val="18"/>
              </w:rPr>
              <w:t>DO NOT mix samples. DO NOT use plastic containers for metal analysis (use glass). Label: animal ID, sample type, GPS, date, time, collector name.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5. Bacteriological &amp; Virological Examination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Samples Required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Transport Conditions</w:t>
            </w:r>
          </w:p>
        </w:tc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Turnaround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Aerobic culture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Spleen, lung, liver, LN — fresh sterile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Ice (4°C) — 24 hrs max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3–7 days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Anaerobic culture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Intestinal contents — special anaerobic swabs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Anaerobic transport medium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3–7 days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Virus isolation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Lung, spleen, brain — fresh or in VTM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-70°C or on dry ice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1–3 weeks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PCR (bacterial)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Any tissue — fresh or fixed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Ice or freeze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3–5 days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PCR (viral — EEHV)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EDTA blood, trunk wash, spleen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Ice — urgent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24–48 hrs (ICAR-IVRI)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ELISA (serology)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Serum (2 samples 3 wks apart)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Freeze serum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1–3 days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6. Packing &amp; Transport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10-Step Packing Protocol</w:t>
      </w:r>
    </w:p>
    <w:p>
      <w:pPr>
        <w:pStyle w:val="WS_Bullet"/>
        <w:ind w:left="283" w:hanging="170"/>
      </w:pPr>
      <w:r>
        <w:t>• 1. Label ALL containers before collection — use waterproof marker, never adhesive labels alone</w:t>
      </w:r>
    </w:p>
    <w:p>
      <w:pPr>
        <w:pStyle w:val="WS_Bullet"/>
        <w:ind w:left="283" w:hanging="170"/>
      </w:pPr>
      <w:r>
        <w:t>• 2. Fill primary container (tube/jar) — leave 10% headspace for expansion</w:t>
      </w:r>
    </w:p>
    <w:p>
      <w:pPr>
        <w:pStyle w:val="WS_Bullet"/>
        <w:ind w:left="283" w:hanging="170"/>
      </w:pPr>
      <w:r>
        <w:t>• 3. Seal with parafilm + tape — double-seal for liquid samples</w:t>
      </w:r>
    </w:p>
    <w:p>
      <w:pPr>
        <w:pStyle w:val="WS_Bullet"/>
        <w:ind w:left="283" w:hanging="170"/>
      </w:pPr>
      <w:r>
        <w:t>• 4. Wrap in absorbent material (cotton wool/paper) — enough to absorb total volume</w:t>
      </w:r>
    </w:p>
    <w:p>
      <w:pPr>
        <w:pStyle w:val="WS_Bullet"/>
        <w:ind w:left="283" w:hanging="170"/>
      </w:pPr>
      <w:r>
        <w:t>• 5. Place in secondary leak-proof container (zip-lock or screw-top)</w:t>
      </w:r>
    </w:p>
    <w:p>
      <w:pPr>
        <w:pStyle w:val="WS_Bullet"/>
        <w:ind w:left="283" w:hanging="170"/>
      </w:pPr>
      <w:r>
        <w:t>• 6. Pack secondary containers in triple-wall corrugated box with ice packs</w:t>
      </w:r>
    </w:p>
    <w:p>
      <w:pPr>
        <w:pStyle w:val="WS_Bullet"/>
        <w:ind w:left="283" w:hanging="170"/>
      </w:pPr>
      <w:r>
        <w:t>• 7. Insert completed sample submission form INSIDE box (not on outside only)</w:t>
      </w:r>
    </w:p>
    <w:p>
      <w:pPr>
        <w:pStyle w:val="WS_Bullet"/>
        <w:ind w:left="283" w:hanging="170"/>
      </w:pPr>
      <w:r>
        <w:t>• 8. Seal box with security tape — sign across seal</w:t>
      </w:r>
    </w:p>
    <w:p>
      <w:pPr>
        <w:pStyle w:val="WS_Bullet"/>
        <w:ind w:left="283" w:hanging="170"/>
      </w:pPr>
      <w:r>
        <w:t>• 9. Label outer box: BIOLOGICAL SPECIMEN — FRAGILE — KEEP COOL</w:t>
      </w:r>
    </w:p>
    <w:p>
      <w:pPr>
        <w:pStyle w:val="WS_Bullet"/>
        <w:ind w:left="283" w:hanging="170"/>
      </w:pPr>
      <w:r>
        <w:t>• 10. Notify laboratory before dispatch — confirm receipt within 24 hrs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7. Quick Master Reference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Sample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Temp</w:t>
            </w:r>
          </w:p>
        </w:tc>
        <w:tc>
          <w:tcPr>
            <w:tcW w:type="dxa" w:w="34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Do NOT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URGENT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EDTA blood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Purple top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4°C (ice)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Freeze whole blood</w:t>
            </w:r>
          </w:p>
        </w:tc>
      </w:tr>
      <w:tr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URGENT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Trunk swab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VTM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4°C (ice)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Dry swab in plain tube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HIGH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Lung/Spleen/LN (fresh)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Sterile zip-lock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-20°C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Add formalin to fresh tissue</w:t>
            </w:r>
          </w:p>
        </w:tc>
      </w:tr>
      <w:tr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HIGH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Lung/Liver (fixed)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10% NBF in jar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Room temp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Over-fix (&gt;72 hrs) or freeze in NBF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HIGH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Stomach contents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Wide-mouth sterile jar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-20°C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Add preservatives</w:t>
            </w:r>
          </w:p>
        </w:tc>
      </w:tr>
      <w:tr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HIGH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Serum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Red top → aliquot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-20°C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Haemolyse — centrifuge early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MOD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Bone marrow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EDTA or dry sterile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-20°C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Air-dry; contaminate</w:t>
            </w:r>
          </w:p>
        </w:tc>
      </w:tr>
      <w:tr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MOD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Faeces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Sterile container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4°C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Use household container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MOD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Urine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Sterile container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4°C/-20°C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Use urine dipstick container for culture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8. National Referral Laboratories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Laboratory</w:t>
            </w:r>
          </w:p>
        </w:tc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Tests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Contact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ICAR-IVRI, Bareilly (UP)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EEHV PCR, histopathology, bacteriology, toxicology, serology, virology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Dir: 0581-2301502 | ivri@icar.org.in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NDVSU, Jabalpur (MP)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Wildlife pathology, toxicology, PM diagnosis, histopath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0761-2600204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WII, Dehradun (UK)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Wildlife disease surveillance, population health, ecological studies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0135-2640112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NRC on Equines, Hisar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Equid diseases, some elephant pathogens as referral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01662-276702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NCDC, Delhi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Zoonotic disease, public health — anthrax, rabies, TB confirmation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011-23921401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_Title">
    <w:name w:val="WS_Title"/>
    <w:basedOn w:val="Normal"/>
    <w:pPr>
      <w:spacing w:before="0" w:after="80"/>
      <w:jc w:val="center"/>
    </w:pPr>
    <w:rPr>
      <w:rFonts w:ascii="Calibri" w:hAnsi="Calibri"/>
      <w:b/>
      <w:i w:val="0"/>
      <w:color w:val="FFFFFF"/>
      <w:sz w:val="36"/>
    </w:rPr>
  </w:style>
  <w:style w:type="paragraph" w:customStyle="1" w:styleId="WS_Sub">
    <w:name w:val="WS_Sub"/>
    <w:basedOn w:val="Normal"/>
    <w:pPr>
      <w:spacing w:before="0" w:after="40"/>
      <w:jc w:val="center"/>
    </w:pPr>
    <w:rPr>
      <w:rFonts w:ascii="Calibri" w:hAnsi="Calibri"/>
      <w:b w:val="0"/>
      <w:i/>
      <w:color w:val="D8F3DC"/>
      <w:sz w:val="20"/>
    </w:rPr>
  </w:style>
  <w:style w:type="paragraph" w:customStyle="1" w:styleId="WS_H1">
    <w:name w:val="WS_H1"/>
    <w:basedOn w:val="Normal"/>
    <w:pPr>
      <w:spacing w:before="160" w:after="40"/>
    </w:pPr>
    <w:rPr>
      <w:rFonts w:ascii="Calibri" w:hAnsi="Calibri"/>
      <w:b/>
      <w:i w:val="0"/>
      <w:color w:val="FFFFFF"/>
      <w:sz w:val="22"/>
    </w:rPr>
  </w:style>
  <w:style w:type="paragraph" w:customStyle="1" w:styleId="WS_H2">
    <w:name w:val="WS_H2"/>
    <w:basedOn w:val="Normal"/>
    <w:pPr>
      <w:spacing w:before="120" w:after="40"/>
    </w:pPr>
    <w:rPr>
      <w:rFonts w:ascii="Calibri" w:hAnsi="Calibri"/>
      <w:b/>
      <w:i w:val="0"/>
      <w:color w:val="1B4332"/>
      <w:sz w:val="20"/>
    </w:rPr>
  </w:style>
  <w:style w:type="paragraph" w:customStyle="1" w:styleId="WS_Body">
    <w:name w:val="WS_Body"/>
    <w:basedOn w:val="Normal"/>
    <w:pPr>
      <w:spacing w:before="0" w:after="80"/>
    </w:pPr>
    <w:rPr>
      <w:rFonts w:ascii="Calibri" w:hAnsi="Calibri"/>
      <w:b w:val="0"/>
      <w:i w:val="0"/>
      <w:color w:val="1A1A1A"/>
      <w:sz w:val="19"/>
    </w:rPr>
  </w:style>
  <w:style w:type="paragraph" w:customStyle="1" w:styleId="WS_Bold">
    <w:name w:val="WS_Bold"/>
    <w:basedOn w:val="Normal"/>
    <w:pPr>
      <w:spacing w:before="0" w:after="80"/>
    </w:pPr>
    <w:rPr>
      <w:rFonts w:ascii="Calibri" w:hAnsi="Calibri"/>
      <w:b/>
      <w:i w:val="0"/>
      <w:color w:val="1A1A1A"/>
      <w:sz w:val="19"/>
    </w:rPr>
  </w:style>
  <w:style w:type="paragraph" w:customStyle="1" w:styleId="WS_Bullet">
    <w:name w:val="WS_Bullet"/>
    <w:basedOn w:val="Normal"/>
    <w:pPr>
      <w:spacing w:before="0" w:after="40"/>
    </w:pPr>
    <w:rPr>
      <w:rFonts w:ascii="Calibri" w:hAnsi="Calibri"/>
      <w:b w:val="0"/>
      <w:i w:val="0"/>
      <w:color w:val="1A1A1A"/>
      <w:sz w:val="18"/>
    </w:rPr>
  </w:style>
  <w:style w:type="paragraph" w:customStyle="1" w:styleId="WS_Caption">
    <w:name w:val="WS_Caption"/>
    <w:basedOn w:val="Normal"/>
    <w:pPr>
      <w:spacing w:before="0" w:after="80"/>
      <w:jc w:val="center"/>
    </w:pPr>
    <w:rPr>
      <w:rFonts w:ascii="Calibri" w:hAnsi="Calibri"/>
      <w:b w:val="0"/>
      <w:i/>
      <w:color w:val="555555"/>
      <w:sz w:val="16"/>
    </w:rPr>
  </w:style>
  <w:style w:type="paragraph" w:customStyle="1" w:styleId="WS_TH">
    <w:name w:val="WS_TH"/>
    <w:basedOn w:val="Normal"/>
    <w:pPr>
      <w:spacing w:before="0" w:after="0"/>
      <w:jc w:val="center"/>
    </w:pPr>
    <w:rPr>
      <w:rFonts w:ascii="Calibri" w:hAnsi="Calibri"/>
      <w:b/>
      <w:i w:val="0"/>
      <w:color w:val="FFFFFF"/>
      <w:sz w:val="17"/>
    </w:rPr>
  </w:style>
  <w:style w:type="paragraph" w:customStyle="1" w:styleId="WS_TD">
    <w:name w:val="WS_TD"/>
    <w:basedOn w:val="Normal"/>
    <w:pPr>
      <w:spacing w:before="0" w:after="0"/>
    </w:pPr>
    <w:rPr>
      <w:rFonts w:ascii="Calibri" w:hAnsi="Calibri"/>
      <w:b w:val="0"/>
      <w:i w:val="0"/>
      <w:color w:val="1A1A1A"/>
      <w:sz w:val="17"/>
    </w:rPr>
  </w:style>
  <w:style w:type="paragraph" w:customStyle="1" w:styleId="WS_TDC">
    <w:name w:val="WS_TDC"/>
    <w:basedOn w:val="Normal"/>
    <w:pPr>
      <w:spacing w:before="0" w:after="0"/>
      <w:jc w:val="center"/>
    </w:pPr>
    <w:rPr>
      <w:rFonts w:ascii="Calibri" w:hAnsi="Calibri"/>
      <w:b w:val="0"/>
      <w:i w:val="0"/>
      <w:color w:val="1A1A1A"/>
      <w:sz w:val="17"/>
    </w:rPr>
  </w:style>
  <w:style w:type="paragraph" w:customStyle="1" w:styleId="WS_TDB">
    <w:name w:val="WS_TDB"/>
    <w:basedOn w:val="Normal"/>
    <w:pPr>
      <w:spacing w:before="0" w:after="0"/>
    </w:pPr>
    <w:rPr>
      <w:rFonts w:ascii="Calibri" w:hAnsi="Calibri"/>
      <w:b/>
      <w:i w:val="0"/>
      <w:color w:val="1B4332"/>
      <w:sz w:val="17"/>
    </w:rPr>
  </w:style>
  <w:style w:type="paragraph" w:customStyle="1" w:styleId="WS_Note">
    <w:name w:val="WS_Note"/>
    <w:basedOn w:val="Normal"/>
    <w:pPr>
      <w:spacing w:before="0" w:after="60"/>
    </w:pPr>
    <w:rPr>
      <w:rFonts w:ascii="Calibri" w:hAnsi="Calibri"/>
      <w:b w:val="0"/>
      <w:i/>
      <w:color w:val="C039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— Biological Sample Collection for Wildlife Disease Diagnosis</dc:title>
  <dc:subject/>
  <dc:creator>Chhattisgarh Forest Department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