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4332"/>
          </w:tcPr>
          <w:p>
            <w:pPr>
              <w:pStyle w:val="WS_Title"/>
              <w:spacing w:before="120" w:after="120"/>
            </w:pPr>
            <w:r>
              <w:rPr>
                <w:color w:val="52B788"/>
                <w:sz w:val="16"/>
              </w:rPr>
              <w:t>CHAPTER 5</w:t>
            </w:r>
            <w:r>
              <w:br/>
            </w:r>
            <w:r>
              <w:rPr>
                <w:b/>
                <w:color w:val="FFFFFF"/>
                <w:sz w:val="32"/>
              </w:rPr>
              <w:t>Non-Infectious Diseases in Asian Elephants</w:t>
            </w:r>
            <w:r>
              <w:br/>
            </w:r>
            <w:r>
              <w:rPr>
                <w:i/>
                <w:color w:val="D8F3DC"/>
                <w:sz w:val="19"/>
              </w:rPr>
              <w:t>Toxicoses, Physical Trauma, Nutritional Deficiencies &amp; Field Investigation</w:t>
            </w:r>
            <w:r>
              <w:br/>
              <w:br/>
            </w:r>
            <w:r>
              <w:rPr>
                <w:color w:val="D8F3DC"/>
                <w:sz w:val="17"/>
              </w:rPr>
              <w:t>Dr. Karikalan Mathesh  |  ICAR-IVRI, Bareilly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1. Background — Why Elephants Are Biologically Distinct</w:t>
            </w:r>
          </w:p>
        </w:tc>
      </w:tr>
    </w:tbl>
    <w:p/>
    <w:p>
      <w:pPr>
        <w:pStyle w:val="WS_Body"/>
      </w:pPr>
      <w:r>
        <w:t>Understanding elephant biology is essential to interpreting non-infectious disease pathology. Several unique features make elephants both resistant to some conditions (e.g. cancer — Peto's Paradox) and exceptionally vulnerable to others (e.g. mycotoxin toxicosis, electrocution, heat stress).</w:t>
      </w:r>
    </w:p>
    <w:p>
      <w:pPr>
        <w:pStyle w:val="WS_H2"/>
        <w:ind w:left="170"/>
      </w:pPr>
      <w:r>
        <w:rPr>
          <w:b/>
          <w:color w:val="2D6A4F"/>
        </w:rPr>
        <w:t>Cancer Resistance — Peto's Paradox</w:t>
      </w:r>
    </w:p>
    <w:p>
      <w:pPr>
        <w:pStyle w:val="WS_Body"/>
      </w:pPr>
      <w:r>
        <w:t>Despite their massive body size and long lifespan, elephants rarely develop cancer. This appears to be due to 20 copies of the TP53 tumour-suppressor gene (humans have 2). Elephants also show enhanced p53-mediated apoptosis — damaged cells are eliminated before malignant transformation. This is one of the most remarkable evolutionary adaptations in mammalian oncology.</w:t>
      </w:r>
    </w:p>
    <w:p>
      <w:pPr>
        <w:pStyle w:val="WS_H2"/>
        <w:ind w:left="170"/>
      </w:pPr>
      <w:r>
        <w:rPr>
          <w:b/>
          <w:color w:val="2D6A4F"/>
        </w:rPr>
        <w:t>High Susceptibility to Toxicity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Factor</w:t>
            </w:r>
          </w:p>
        </w:tc>
        <w:tc>
          <w:tcPr>
            <w:tcW w:type="dxa" w:w="6803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Implication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Large body mass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Requires enormous food intake → higher exposure to contaminated feed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Hindgut fermentation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Mycotoxins in feed amplified by gut flora; longer gut transit time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Low metabolic rate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Slower toxin clearance compared to smaller mammals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Indiscriminate feeding (stressed)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Captive/crop-raiding elephants consume contaminated grain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Rumen bypass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No rumen biotransformation of toxins — absorbed directly from intestine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Sensitive endothelium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Vascular endothelium highly susceptible to oxidative toxin damage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2. Case Study — Mass Mortality at Bandhavgarh NP (Oct 2024)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DBD8"/>
          </w:tcPr>
          <w:p>
            <w:pPr>
              <w:spacing w:before="80" w:after="80"/>
            </w:pPr>
            <w:r>
              <w:rPr>
                <w:b/>
                <w:color w:val="C0392B"/>
                <w:sz w:val="18"/>
              </w:rPr>
              <w:t>October 2024: 10 Asian elephant deaths in Bandhavgarh Tiger Reserve over 4 days. Final diagnosis: Cyclopiazonic Acid (CPA) toxicosis from Kodo millet (Paspalum scrobiculatum). Confirmed by LC-MS at ICRISAT, Hyderabad.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History &amp; Field Observations</w:t>
      </w:r>
    </w:p>
    <w:p>
      <w:pPr>
        <w:pStyle w:val="WS_Body"/>
      </w:pPr>
      <w:r>
        <w:t>Herd of ~10 elephants observed feeding on Kodo millet crop fields at edge of reserve. Within 12–24 hrs: sudden collapse, ataxia, hypersalivation, behavioural depression, recumbency. Rapid deaths over 4 days. No infectious disease outbreak in area.</w:t>
      </w:r>
    </w:p>
    <w:p>
      <w:pPr>
        <w:pStyle w:val="WS_H2"/>
        <w:ind w:left="170"/>
      </w:pPr>
      <w:r>
        <w:rPr>
          <w:b/>
          <w:color w:val="2D6A4F"/>
        </w:rPr>
        <w:t>Gross PM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System / Organ</w:t>
            </w:r>
          </w:p>
        </w:tc>
        <w:tc>
          <w:tcPr>
            <w:tcW w:type="dxa" w:w="6803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Gross Finding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Forestomach/Rumen equivalent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N/A (hindgut fermenter) — stomach had large volume of millet grain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Liver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Pale, friable, enlarged — centrilobular necrosis on cut section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Kidneys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Pale, swollen — cortical pallor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Intestines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Haemorrhagic enteritis — reddened mucosa with petechiae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Lungs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Congested, oedematous — secondary to cardiovascular shock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Heart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Petechiae on epicardium; myocardial pallor in some animals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Brain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Congestion; petechiae — consistent with hypoxia/shock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Toxicology Results (LC-MS — ICRISAT Hyderabad)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Sample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CPA Detected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Level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Stomach contents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YES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High (&gt;50 ppb)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Liver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YES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Moderate (10–25 ppb)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Kodo millet from field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YES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Very high (&gt;200 ppb — contaminated grain)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Serum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YES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Detectable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EEHV PCR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NEGATIVE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Organochlorine/Phosphate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NEGATIVE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Heavy metals (Pb/Hg/Cd/As)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NEGATIVE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3. Cyclopiazonic Acid (CPA) — Key Facts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6803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Producing fungi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Aspergillus flavus, A. oryzae, Penicillium cyclopium — common soil fungi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Substrate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Kodo millet (Paspalum scrobiculatum), maize, groundnut, sorghum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Conditions for growth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High humidity, temperature 25–37°C, pre-harvest or storage damage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Mechanism of toxicity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Inhibits Ca²⁺-ATPase pump (SERCA) → disrupts intracellular calcium → cell death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Target organs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 (necrosis), kidney (tubular damage), heart (myocardial degeneration), GI tract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LD50 (rat)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36 mg/kg bodyweight (acute)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Historical case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Kodo poisoning known in India since 1917 — "Kodua poisoning" in humans eating contaminated millet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Season of risk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Post-monsoon harvest (Oct–Dec) — wet grain in field; humid storage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Detection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LC-MS/MS (most sensitive); ELISA available; TLC for screening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Prevention &amp; Control</w:t>
      </w:r>
    </w:p>
    <w:p>
      <w:pPr>
        <w:pStyle w:val="WS_Bullet"/>
        <w:ind w:left="283" w:hanging="170"/>
      </w:pPr>
      <w:r>
        <w:t>• Avoid allowing elephants to access Kodo millet fields — especially post-monsoon harvest</w:t>
      </w:r>
    </w:p>
    <w:p>
      <w:pPr>
        <w:pStyle w:val="WS_Bullet"/>
        <w:ind w:left="283" w:hanging="170"/>
      </w:pPr>
      <w:r>
        <w:t>• Crop monitoring: mycological testing of grain during harvest season</w:t>
      </w:r>
    </w:p>
    <w:p>
      <w:pPr>
        <w:pStyle w:val="WS_Bullet"/>
        <w:ind w:left="283" w:hanging="170"/>
      </w:pPr>
      <w:r>
        <w:t>• Moisture-controlled storage — &lt;14% grain moisture inhibits fungal growth</w:t>
      </w:r>
    </w:p>
    <w:p>
      <w:pPr>
        <w:pStyle w:val="WS_Bullet"/>
        <w:ind w:left="283" w:hanging="170"/>
      </w:pPr>
      <w:r>
        <w:t>• Rapid autopsy + LC-MS testing of first death in any cluster event</w:t>
      </w:r>
    </w:p>
    <w:p>
      <w:pPr>
        <w:pStyle w:val="WS_Bullet"/>
        <w:ind w:left="283" w:hanging="170"/>
      </w:pPr>
      <w:r>
        <w:t>• Liaison with forest department to map Kodo millet cultivation areas within/adjacent to elephant habitats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4. Electrocution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DBD8"/>
          </w:tcPr>
          <w:p>
            <w:pPr>
              <w:spacing w:before="80" w:after="80"/>
            </w:pPr>
            <w:r>
              <w:rPr>
                <w:b/>
                <w:color w:val="C0392B"/>
                <w:sz w:val="18"/>
              </w:rPr>
              <w:t>Electrocution = 47% of all elephant deaths in Chhattisgarh (2021–2026). 23 confirmed electrocution deaths. Oct–Dec peak — illegal fencing to protect paddy/maize crops.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Comparison of Injury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Lightning Strike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High Voltage (HV) Line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Low Voltage (LV) Fence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Voltage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&gt;100 million V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11 kV–132 kV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220 V–440 V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Mechanism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Flash-over; side-potential herd deaths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Direct contact; step potential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Prolonged contact; cardiac arrest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Entry wound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Large irregular char mark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Deep char at contact point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Small char or absent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Exit wound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Multiple; on feet (ground contact)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Typically on feet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Feet — small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Internal organs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Haemorrhage throughout; visceral rupture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Linear haemorrhage along current path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Cardiac changes primary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Herd effect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YES — side-potential can kill multiple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Step-potential affects nearby animals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Direct contact only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PM smell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Burnt hair/skin smell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Burnt smell at entry/exit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May be subtle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Scene evidence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Split trees; scorched ground; no lines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Broken power line; fused wire ends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Illegal fence wire at scene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PM Findings in Electrocution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Finding</w:t>
            </w:r>
          </w:p>
        </w:tc>
        <w:tc>
          <w:tcPr>
            <w:tcW w:type="dxa" w:w="6236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Significance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Char marks at entry/exit</w:t>
            </w:r>
          </w:p>
        </w:tc>
        <w:tc>
          <w:tcPr>
            <w:tcW w:type="dxa" w:w="6236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Pathognomonic — document with photograph and GPS</w:t>
            </w:r>
          </w:p>
        </w:tc>
      </w:tr>
      <w:tr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Metallodermic marks</w:t>
            </w:r>
          </w:p>
        </w:tc>
        <w:tc>
          <w:tcPr>
            <w:tcW w:type="dxa" w:w="6236"/>
            <w:shd w:val="clear" w:color="auto" w:fill="EAF7EE"/>
          </w:tcPr>
          <w:p>
            <w:pPr>
              <w:pStyle w:val="WS_TD"/>
              <w:spacing w:before="40" w:after="40"/>
            </w:pPr>
            <w:r>
              <w:t>Imprint of wire/equipment on skin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Muscle haemorrhage along current path</w:t>
            </w:r>
          </w:p>
        </w:tc>
        <w:tc>
          <w:tcPr>
            <w:tcW w:type="dxa" w:w="6236"/>
            <w:shd w:val="clear" w:color="auto" w:fill="FFFFFF"/>
          </w:tcPr>
          <w:p>
            <w:pPr>
              <w:pStyle w:val="WS_TD"/>
              <w:spacing w:before="40" w:after="40"/>
            </w:pPr>
            <w:r>
              <w:t>Joule heating effect in tissues</w:t>
            </w:r>
          </w:p>
        </w:tc>
      </w:tr>
      <w:tr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Petechial haemorrhage — heart, lungs, brain</w:t>
            </w:r>
          </w:p>
        </w:tc>
        <w:tc>
          <w:tcPr>
            <w:tcW w:type="dxa" w:w="6236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Cardiorespiratory arrest secondary to ventricular fibrillation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Arborescent (Lichtenberg) marks</w:t>
            </w:r>
          </w:p>
        </w:tc>
        <w:tc>
          <w:tcPr>
            <w:tcW w:type="dxa" w:w="6236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Lightning specific — branching red skin marks</w:t>
            </w:r>
          </w:p>
        </w:tc>
      </w:tr>
      <w:tr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Rapid decomposition</w:t>
            </w:r>
          </w:p>
        </w:tc>
        <w:tc>
          <w:tcPr>
            <w:tcW w:type="dxa" w:w="6236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Heat from current accelerates autolysis — PM within 6 hrs essential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No significant internal pathology</w:t>
            </w:r>
          </w:p>
        </w:tc>
        <w:tc>
          <w:tcPr>
            <w:tcW w:type="dxa" w:w="6236"/>
            <w:shd w:val="clear" w:color="auto" w:fill="FFFFFF"/>
          </w:tcPr>
          <w:p>
            <w:pPr>
              <w:pStyle w:val="WS_TD"/>
              <w:spacing w:before="40" w:after="40"/>
            </w:pPr>
            <w:r>
              <w:t>May be seen in LV fence deaths — external findings are key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5. Lightning Side-Potential (Herd Mortality)</w:t>
            </w:r>
          </w:p>
        </w:tc>
      </w:tr>
    </w:tbl>
    <w:p/>
    <w:p>
      <w:pPr>
        <w:pStyle w:val="WS_Body"/>
      </w:pPr>
      <w:r>
        <w:t>When lightning strikes near a herd, ground current radiates outward in concentric circles (step potential / side flash). Front legs and back legs are at different potentials, creating a current path through the body. Calves and smaller animals are most susceptible. Multiple simultaneous deaths at same location during/after storm should raise immediate suspicion of lightning side-potential.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Indicator</w:t>
            </w:r>
          </w:p>
        </w:tc>
        <w:tc>
          <w:tcPr>
            <w:tcW w:type="dxa" w:w="6803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Multiple deaths simultaneously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Lightning — same location, same time (storm)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Concentric position of carcasses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Radiate from central strike point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Split trees / burnt vegetation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Lightning strike point evidence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Skin findings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Lichtenberg marks (arborescent patterns) on some individuals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Season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Pre-monsoon / monsoon (April–September in India)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PM findings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Similar to HV — haemorrhage, cardiac arrest; may be less localised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6. Nutritional Deficiencies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1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Deficiency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Mechanism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Clinical Signs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PM Findings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Field Sampling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Iron (Fe)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Reduced haemoglobin; anaemia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Pallor, weakness, tachycardia, collapse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 mucosae, thin watery blood, iron-poor marrow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Blood (CBC, serum iron, ferritin), bone marrow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Calcium/Phosphorus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Bone resorption, osteomalacia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Bone pain, fractures, fracture sites, stiff gait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Soft/rubbery bones, pathological fractures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Serum Ca/P, bone biopsy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Iodine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Hypothyroidism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Goitre, weight gain, poor coat, reproductive failure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Enlarged thyroid gland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Thyroid tissue, serum T3/T4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Vitamin E/Selenium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Oxidative damage to muscle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White muscle disease, weakness, sudden death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Pale/white cardiac and skeletal muscle — white streaks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Serum selenium, muscle biopsy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Copper (Cu)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Enzyme dysfunction, demyelination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Depigmentation, weakness, diarrhoea, nervous signs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Swaybacker lesions in brain; liver copper low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Liver, serum copper, brain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7. Field Investigation Framework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765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Action Items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Scene Assessment</w:t>
            </w:r>
          </w:p>
        </w:tc>
        <w:tc>
          <w:tcPr>
            <w:tcW w:type="dxa" w:w="76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GPS; photograph scene before disturbing; note carcass position, orientation, vegetation damage, wire/equipment present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History</w:t>
            </w:r>
          </w:p>
        </w:tc>
        <w:tc>
          <w:tcPr>
            <w:tcW w:type="dxa" w:w="76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When last seen alive; feed/water sources; recent weather; herd composition; any unusual activity (raiding, musth)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External Examination</w:t>
            </w:r>
          </w:p>
        </w:tc>
        <w:tc>
          <w:tcPr>
            <w:tcW w:type="dxa" w:w="76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Char marks, wounds, tusk damage, skin condition, orifice discharge, body condition score, age estimation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PM Examination</w:t>
            </w:r>
          </w:p>
        </w:tc>
        <w:tc>
          <w:tcPr>
            <w:tcW w:type="dxa" w:w="76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Systematic organ examination; document gross findings; photograph all lesions; weigh organs if possible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Sample Collection</w:t>
            </w:r>
          </w:p>
        </w:tc>
        <w:tc>
          <w:tcPr>
            <w:tcW w:type="dxa" w:w="76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Collect ALL samples from master list; maintain cold chain; double-label every sample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Environmental Samples</w:t>
            </w:r>
          </w:p>
        </w:tc>
        <w:tc>
          <w:tcPr>
            <w:tcW w:type="dxa" w:w="76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Water (nearby sources), soil (around carcass), feed/fodder from last known feeding site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Documentation</w:t>
            </w:r>
          </w:p>
        </w:tc>
        <w:tc>
          <w:tcPr>
            <w:tcW w:type="dxa" w:w="76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Complete PM report with GPS, photographs, sample list; chain of custody form for all samples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Preliminary Findings</w:t>
            </w:r>
          </w:p>
        </w:tc>
        <w:tc>
          <w:tcPr>
            <w:tcW w:type="dxa" w:w="76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Verbal report to CF/PCCF within 24 hrs; written report within 72 hrs; lab results to follow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_Title">
    <w:name w:val="WS_Title"/>
    <w:basedOn w:val="Normal"/>
    <w:pPr>
      <w:spacing w:before="0" w:after="80"/>
      <w:jc w:val="center"/>
    </w:pPr>
    <w:rPr>
      <w:rFonts w:ascii="Calibri" w:hAnsi="Calibri"/>
      <w:b/>
      <w:i w:val="0"/>
      <w:color w:val="FFFFFF"/>
      <w:sz w:val="36"/>
    </w:rPr>
  </w:style>
  <w:style w:type="paragraph" w:customStyle="1" w:styleId="WS_Sub">
    <w:name w:val="WS_Sub"/>
    <w:basedOn w:val="Normal"/>
    <w:pPr>
      <w:spacing w:before="0" w:after="40"/>
      <w:jc w:val="center"/>
    </w:pPr>
    <w:rPr>
      <w:rFonts w:ascii="Calibri" w:hAnsi="Calibri"/>
      <w:b w:val="0"/>
      <w:i/>
      <w:color w:val="D8F3DC"/>
      <w:sz w:val="20"/>
    </w:rPr>
  </w:style>
  <w:style w:type="paragraph" w:customStyle="1" w:styleId="WS_H1">
    <w:name w:val="WS_H1"/>
    <w:basedOn w:val="Normal"/>
    <w:pPr>
      <w:spacing w:before="160" w:after="40"/>
    </w:pPr>
    <w:rPr>
      <w:rFonts w:ascii="Calibri" w:hAnsi="Calibri"/>
      <w:b/>
      <w:i w:val="0"/>
      <w:color w:val="FFFFFF"/>
      <w:sz w:val="22"/>
    </w:rPr>
  </w:style>
  <w:style w:type="paragraph" w:customStyle="1" w:styleId="WS_H2">
    <w:name w:val="WS_H2"/>
    <w:basedOn w:val="Normal"/>
    <w:pPr>
      <w:spacing w:before="120" w:after="40"/>
    </w:pPr>
    <w:rPr>
      <w:rFonts w:ascii="Calibri" w:hAnsi="Calibri"/>
      <w:b/>
      <w:i w:val="0"/>
      <w:color w:val="1B4332"/>
      <w:sz w:val="20"/>
    </w:rPr>
  </w:style>
  <w:style w:type="paragraph" w:customStyle="1" w:styleId="WS_Body">
    <w:name w:val="WS_Body"/>
    <w:basedOn w:val="Normal"/>
    <w:pPr>
      <w:spacing w:before="0" w:after="80"/>
    </w:pPr>
    <w:rPr>
      <w:rFonts w:ascii="Calibri" w:hAnsi="Calibri"/>
      <w:b w:val="0"/>
      <w:i w:val="0"/>
      <w:color w:val="1A1A1A"/>
      <w:sz w:val="19"/>
    </w:rPr>
  </w:style>
  <w:style w:type="paragraph" w:customStyle="1" w:styleId="WS_Bold">
    <w:name w:val="WS_Bold"/>
    <w:basedOn w:val="Normal"/>
    <w:pPr>
      <w:spacing w:before="0" w:after="80"/>
    </w:pPr>
    <w:rPr>
      <w:rFonts w:ascii="Calibri" w:hAnsi="Calibri"/>
      <w:b/>
      <w:i w:val="0"/>
      <w:color w:val="1A1A1A"/>
      <w:sz w:val="19"/>
    </w:rPr>
  </w:style>
  <w:style w:type="paragraph" w:customStyle="1" w:styleId="WS_Bullet">
    <w:name w:val="WS_Bullet"/>
    <w:basedOn w:val="Normal"/>
    <w:pPr>
      <w:spacing w:before="0" w:after="40"/>
    </w:pPr>
    <w:rPr>
      <w:rFonts w:ascii="Calibri" w:hAnsi="Calibri"/>
      <w:b w:val="0"/>
      <w:i w:val="0"/>
      <w:color w:val="1A1A1A"/>
      <w:sz w:val="18"/>
    </w:rPr>
  </w:style>
  <w:style w:type="paragraph" w:customStyle="1" w:styleId="WS_Caption">
    <w:name w:val="WS_Caption"/>
    <w:basedOn w:val="Normal"/>
    <w:pPr>
      <w:spacing w:before="0" w:after="80"/>
      <w:jc w:val="center"/>
    </w:pPr>
    <w:rPr>
      <w:rFonts w:ascii="Calibri" w:hAnsi="Calibri"/>
      <w:b w:val="0"/>
      <w:i/>
      <w:color w:val="555555"/>
      <w:sz w:val="16"/>
    </w:rPr>
  </w:style>
  <w:style w:type="paragraph" w:customStyle="1" w:styleId="WS_TH">
    <w:name w:val="WS_TH"/>
    <w:basedOn w:val="Normal"/>
    <w:pPr>
      <w:spacing w:before="0" w:after="0"/>
      <w:jc w:val="center"/>
    </w:pPr>
    <w:rPr>
      <w:rFonts w:ascii="Calibri" w:hAnsi="Calibri"/>
      <w:b/>
      <w:i w:val="0"/>
      <w:color w:val="FFFFFF"/>
      <w:sz w:val="17"/>
    </w:rPr>
  </w:style>
  <w:style w:type="paragraph" w:customStyle="1" w:styleId="WS_TD">
    <w:name w:val="WS_TD"/>
    <w:basedOn w:val="Normal"/>
    <w:pPr>
      <w:spacing w:before="0" w:after="0"/>
    </w:pPr>
    <w:rPr>
      <w:rFonts w:ascii="Calibri" w:hAnsi="Calibri"/>
      <w:b w:val="0"/>
      <w:i w:val="0"/>
      <w:color w:val="1A1A1A"/>
      <w:sz w:val="17"/>
    </w:rPr>
  </w:style>
  <w:style w:type="paragraph" w:customStyle="1" w:styleId="WS_TDC">
    <w:name w:val="WS_TDC"/>
    <w:basedOn w:val="Normal"/>
    <w:pPr>
      <w:spacing w:before="0" w:after="0"/>
      <w:jc w:val="center"/>
    </w:pPr>
    <w:rPr>
      <w:rFonts w:ascii="Calibri" w:hAnsi="Calibri"/>
      <w:b w:val="0"/>
      <w:i w:val="0"/>
      <w:color w:val="1A1A1A"/>
      <w:sz w:val="17"/>
    </w:rPr>
  </w:style>
  <w:style w:type="paragraph" w:customStyle="1" w:styleId="WS_TDB">
    <w:name w:val="WS_TDB"/>
    <w:basedOn w:val="Normal"/>
    <w:pPr>
      <w:spacing w:before="0" w:after="0"/>
    </w:pPr>
    <w:rPr>
      <w:rFonts w:ascii="Calibri" w:hAnsi="Calibri"/>
      <w:b/>
      <w:i w:val="0"/>
      <w:color w:val="1B4332"/>
      <w:sz w:val="17"/>
    </w:rPr>
  </w:style>
  <w:style w:type="paragraph" w:customStyle="1" w:styleId="WS_Note">
    <w:name w:val="WS_Note"/>
    <w:basedOn w:val="Normal"/>
    <w:pPr>
      <w:spacing w:before="0" w:after="60"/>
    </w:pPr>
    <w:rPr>
      <w:rFonts w:ascii="Calibri" w:hAnsi="Calibri"/>
      <w:b w:val="0"/>
      <w:i/>
      <w:color w:val="C0392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 — Non-Infectious Diseases in Asian Elephants</dc:title>
  <dc:subject/>
  <dc:creator>Chhattisgarh Forest Department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