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B4332"/>
          </w:tcPr>
          <w:p>
            <w:pPr>
              <w:pStyle w:val="WS_Title"/>
              <w:spacing w:before="120" w:after="120"/>
            </w:pPr>
            <w:r>
              <w:rPr>
                <w:color w:val="52B788"/>
                <w:sz w:val="16"/>
              </w:rPr>
              <w:t>CHAPTER 7</w:t>
            </w:r>
            <w:r>
              <w:br/>
            </w:r>
            <w:r>
              <w:rPr>
                <w:b/>
                <w:color w:val="FFFFFF"/>
                <w:sz w:val="32"/>
              </w:rPr>
              <w:t>Postmortem Examination of the Asian Elephant</w:t>
            </w:r>
            <w:r>
              <w:br/>
            </w:r>
            <w:r>
              <w:rPr>
                <w:i/>
                <w:color w:val="D8F3DC"/>
                <w:sz w:val="19"/>
              </w:rPr>
              <w:t>Principles, Procedure, Documentation &amp; Differential Diagnosis</w:t>
            </w:r>
            <w:r>
              <w:br/>
              <w:br/>
            </w:r>
            <w:r>
              <w:rPr>
                <w:color w:val="D8F3DC"/>
                <w:sz w:val="17"/>
              </w:rPr>
              <w:t>Prof. Dr. A. B. Shrivastav  |  NDVSU, Jabalpur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3DC"/>
          </w:tcPr>
          <w:p>
            <w:pPr>
              <w:spacing w:before="80" w:after="80"/>
            </w:pPr>
            <w:r>
              <w:rPr>
                <w:b/>
                <w:color w:val="1B4332"/>
                <w:sz w:val="18"/>
              </w:rPr>
              <w:t>"The carcass never tells a lie — but you must know how to ask the right questions."  — Dr. R. K. Satpati, Wildlife Institute of India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1. Introduction &amp; Definitions</w:t>
            </w:r>
          </w:p>
        </w:tc>
      </w:tr>
    </w:tbl>
    <w:p/>
    <w:p>
      <w:pPr>
        <w:pStyle w:val="WS_Body"/>
      </w:pPr>
      <w:r>
        <w:t>Postmortem (PM) examination — necropsy — is the systematic, methodical examination of a dead animal to determine the cause of death, manner of death, and contributing factors. In wildlife forensics, the necropsy report may be the primary evidence in legal proceedings.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7087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Necropsy</w:t>
            </w:r>
          </w:p>
        </w:tc>
        <w:tc>
          <w:tcPr>
            <w:tcW w:type="dxa" w:w="7087"/>
            <w:shd w:val="clear" w:color="auto" w:fill="FFFFFF"/>
          </w:tcPr>
          <w:p>
            <w:pPr>
              <w:pStyle w:val="WS_TD"/>
              <w:spacing w:before="40" w:after="40"/>
            </w:pPr>
            <w:r>
              <w:t>Postmortem examination of an animal (Gr: nekros = dead, opsis = view)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Autopsy</w:t>
            </w:r>
          </w:p>
        </w:tc>
        <w:tc>
          <w:tcPr>
            <w:tcW w:type="dxa" w:w="7087"/>
            <w:shd w:val="clear" w:color="auto" w:fill="EAF7EE"/>
          </w:tcPr>
          <w:p>
            <w:pPr>
              <w:pStyle w:val="WS_TD"/>
              <w:spacing w:before="40" w:after="40"/>
            </w:pPr>
            <w:r>
              <w:t>Postmortem examination of a human (same methodology — different subject)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Cause of Death (CoD)</w:t>
            </w:r>
          </w:p>
        </w:tc>
        <w:tc>
          <w:tcPr>
            <w:tcW w:type="dxa" w:w="7087"/>
            <w:shd w:val="clear" w:color="auto" w:fill="FFFFFF"/>
          </w:tcPr>
          <w:p>
            <w:pPr>
              <w:pStyle w:val="WS_TD"/>
              <w:spacing w:before="40" w:after="40"/>
            </w:pPr>
            <w:r>
              <w:t>The pathological condition or injury directly responsible for death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Manner of Death</w:t>
            </w:r>
          </w:p>
        </w:tc>
        <w:tc>
          <w:tcPr>
            <w:tcW w:type="dxa" w:w="7087"/>
            <w:shd w:val="clear" w:color="auto" w:fill="EAF7EE"/>
          </w:tcPr>
          <w:p>
            <w:pPr>
              <w:pStyle w:val="WS_TD"/>
              <w:spacing w:before="40" w:after="40"/>
            </w:pPr>
            <w:r>
              <w:t>Natural, accidental, homicidal, suicidal, undetermined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Contributing Factor</w:t>
            </w:r>
          </w:p>
        </w:tc>
        <w:tc>
          <w:tcPr>
            <w:tcW w:type="dxa" w:w="7087"/>
            <w:shd w:val="clear" w:color="auto" w:fill="FFFFFF"/>
          </w:tcPr>
          <w:p>
            <w:pPr>
              <w:pStyle w:val="WS_TD"/>
              <w:spacing w:before="40" w:after="40"/>
            </w:pPr>
            <w:r>
              <w:t>A condition that worsened the outcome but was not the direct cause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Time Since Death (TSD)</w:t>
            </w:r>
          </w:p>
        </w:tc>
        <w:tc>
          <w:tcPr>
            <w:tcW w:type="dxa" w:w="7087"/>
            <w:shd w:val="clear" w:color="auto" w:fill="EAF7EE"/>
          </w:tcPr>
          <w:p>
            <w:pPr>
              <w:pStyle w:val="WS_TD"/>
              <w:spacing w:before="40" w:after="40"/>
            </w:pPr>
            <w:r>
              <w:t>Estimated interval since death — based on PM changes, temperature, entomology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Chain of Custody</w:t>
            </w:r>
          </w:p>
        </w:tc>
        <w:tc>
          <w:tcPr>
            <w:tcW w:type="dxa" w:w="7087"/>
            <w:shd w:val="clear" w:color="auto" w:fill="FFFFFF"/>
          </w:tcPr>
          <w:p>
            <w:pPr>
              <w:pStyle w:val="WS_TD"/>
              <w:spacing w:before="40" w:after="40"/>
            </w:pPr>
            <w:r>
              <w:t>Documented chronological record of sample handling from collection to lab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Rigor Mortis</w:t>
            </w:r>
          </w:p>
        </w:tc>
        <w:tc>
          <w:tcPr>
            <w:tcW w:type="dxa" w:w="7087"/>
            <w:shd w:val="clear" w:color="auto" w:fill="EAF7EE"/>
          </w:tcPr>
          <w:p>
            <w:pPr>
              <w:pStyle w:val="WS_TD"/>
              <w:spacing w:before="40" w:after="40"/>
            </w:pPr>
            <w:r>
              <w:t>Temporary muscle stiffening 2–6 hrs post-death; resolves by 24–36 hrs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Livor Mortis</w:t>
            </w:r>
          </w:p>
        </w:tc>
        <w:tc>
          <w:tcPr>
            <w:tcW w:type="dxa" w:w="7087"/>
            <w:shd w:val="clear" w:color="auto" w:fill="FFFFFF"/>
          </w:tcPr>
          <w:p>
            <w:pPr>
              <w:pStyle w:val="WS_TD"/>
              <w:spacing w:before="40" w:after="40"/>
            </w:pPr>
            <w:r>
              <w:t>Purple discolouration of dependent (lowest) body surfaces due to blood pooling</w:t>
            </w:r>
          </w:p>
        </w:tc>
      </w:tr>
      <w:tr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Algor Mortis</w:t>
            </w:r>
          </w:p>
        </w:tc>
        <w:tc>
          <w:tcPr>
            <w:tcW w:type="dxa" w:w="7087"/>
            <w:shd w:val="clear" w:color="auto" w:fill="EAF7EE"/>
          </w:tcPr>
          <w:p>
            <w:pPr>
              <w:pStyle w:val="WS_TD"/>
              <w:spacing w:before="40" w:after="40"/>
            </w:pPr>
            <w:r>
              <w:t>Body temperature drop post-death (~1°C/hr in still air at 20°C)</w:t>
            </w:r>
          </w:p>
        </w:tc>
      </w:tr>
    </w:tbl>
    <w:p/>
    <w:p>
      <w:pPr>
        <w:pStyle w:val="WS_H2"/>
        <w:ind w:left="170"/>
      </w:pPr>
      <w:r>
        <w:rPr>
          <w:b/>
          <w:color w:val="2D6A4F"/>
        </w:rPr>
        <w:t>Six Key Principles of Elephant Necropsy</w:t>
      </w:r>
    </w:p>
    <w:p>
      <w:pPr>
        <w:pStyle w:val="WS_Bullet"/>
        <w:ind w:left="283" w:hanging="170"/>
      </w:pPr>
      <w:r>
        <w:t>• 1. SPEED: PM within 6 hours of death ideally — tropical climate causes rapid decomposition. Maximum 12 hours.</w:t>
      </w:r>
    </w:p>
    <w:p>
      <w:pPr>
        <w:pStyle w:val="WS_Bullet"/>
        <w:ind w:left="283" w:hanging="170"/>
      </w:pPr>
      <w:r>
        <w:t>• 2. SAFETY: PPE mandatory — gloves (double), N95 mask, eye protection, gown, waterproof boots.</w:t>
      </w:r>
    </w:p>
    <w:p>
      <w:pPr>
        <w:pStyle w:val="WS_Bullet"/>
        <w:ind w:left="283" w:hanging="170"/>
      </w:pPr>
      <w:r>
        <w:t>• 3. SYSTEMATIC: Follow a fixed sequence every time — external → internal (thorax → abdomen → head). Never skip steps.</w:t>
      </w:r>
    </w:p>
    <w:p>
      <w:pPr>
        <w:pStyle w:val="WS_Bullet"/>
        <w:ind w:left="283" w:hanging="170"/>
      </w:pPr>
      <w:r>
        <w:t>• 4. SAMPLING: Collect ALL samples from the master list before organ examination — samples come first, findings second.</w:t>
      </w:r>
    </w:p>
    <w:p>
      <w:pPr>
        <w:pStyle w:val="WS_Bullet"/>
        <w:ind w:left="283" w:hanging="170"/>
      </w:pPr>
      <w:r>
        <w:t>• 5. DOCUMENTATION: Photograph every finding before disturbing. GPS coordinates of site. Written notes in field notebook.</w:t>
      </w:r>
    </w:p>
    <w:p>
      <w:pPr>
        <w:pStyle w:val="WS_Bullet"/>
        <w:ind w:left="283" w:hanging="170"/>
      </w:pPr>
      <w:r>
        <w:t>• 6. CHAIN OF CUSTODY: Label every sample immediately. Fill submission form. Witness signature on all forensic samples.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2. Pre-Necropsy Preparation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7370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Requirements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Team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Minimum 4 persons: 1 veterinarian (PM lead), 1 assistant (scribing), 1 photographer, 1 sample handler + 2–4 mahouts/field staff for positioning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Documentation kit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Field notebook, permanent markers, sample labels, GPS device or phone, camera (charged), body measurement tape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PPE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Double gloves, N95 masks (min. 6 per person), full gown/PPE suit, eye shield/goggles, waterproof boots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Instruments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2 large knives (postmortem knives, sharpened), hand saw or bone saw, rib shears or heavy scissors, spreader, forceps, sample jars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Sample supplies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EDTA tubes, red-top tubes, sterile zip-locks, NBF jars (pre-filled 10%), VTM tubes, sterile swabs, wide-mouth sterile containers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Cold chain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Ice box with ice packs (minimum 2 kg ice per case), sealed cold packs; freezer access within 6 hrs preferred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Legal documents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PM requisition letter, chain of custody forms, official field report template, camera with date/GPS metadata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3. Post-Mortem Examination — Step-by-Step Workflow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311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Action</w:t>
            </w:r>
          </w:p>
        </w:tc>
        <w:tc>
          <w:tcPr>
            <w:tcW w:type="dxa" w:w="4819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Key Observations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1. Scene Assessment</w:t>
            </w:r>
          </w:p>
        </w:tc>
        <w:tc>
          <w:tcPr>
            <w:tcW w:type="dxa" w:w="3118"/>
            <w:shd w:val="clear" w:color="auto" w:fill="FFFFFF"/>
          </w:tcPr>
          <w:p>
            <w:pPr>
              <w:pStyle w:val="WS_TD"/>
              <w:spacing w:before="40" w:after="40"/>
            </w:pPr>
            <w:r>
              <w:t>GPS, photographs of scene, position of body, surrounding environment, evidence (wire, tracks)</w:t>
            </w:r>
          </w:p>
        </w:tc>
        <w:tc>
          <w:tcPr>
            <w:tcW w:type="dxa" w:w="4819"/>
            <w:shd w:val="clear" w:color="auto" w:fill="FFFFFF"/>
          </w:tcPr>
          <w:p>
            <w:pPr>
              <w:pStyle w:val="WS_TD"/>
              <w:spacing w:before="40" w:after="40"/>
            </w:pPr>
            <w:r>
              <w:t>Note any electric wire, water body, tracks, disturbance, vegetation damage</w:t>
            </w:r>
          </w:p>
        </w:tc>
      </w:tr>
      <w:tr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2. External Examination</w:t>
            </w:r>
          </w:p>
        </w:tc>
        <w:tc>
          <w:tcPr>
            <w:tcW w:type="dxa" w:w="3118"/>
            <w:shd w:val="clear" w:color="auto" w:fill="EAF7EE"/>
          </w:tcPr>
          <w:p>
            <w:pPr>
              <w:pStyle w:val="WS_TD"/>
              <w:spacing w:before="40" w:after="40"/>
            </w:pPr>
            <w:r>
              <w:t>Body condition score; skin; wounds; orifices; sex; age estimate</w:t>
            </w:r>
          </w:p>
        </w:tc>
        <w:tc>
          <w:tcPr>
            <w:tcW w:type="dxa" w:w="4819"/>
            <w:shd w:val="clear" w:color="auto" w:fill="EAF7EE"/>
          </w:tcPr>
          <w:p>
            <w:pPr>
              <w:pStyle w:val="WS_TD"/>
              <w:spacing w:before="40" w:after="40"/>
            </w:pPr>
            <w:r>
              <w:t>Char marks, trauma, discharge, dehydration, skin lesions — all photographed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3. Body Measurements</w:t>
            </w:r>
          </w:p>
        </w:tc>
        <w:tc>
          <w:tcPr>
            <w:tcW w:type="dxa" w:w="3118"/>
            <w:shd w:val="clear" w:color="auto" w:fill="FFFFFF"/>
          </w:tcPr>
          <w:p>
            <w:pPr>
              <w:pStyle w:val="WS_TD"/>
              <w:spacing w:before="40" w:after="40"/>
            </w:pPr>
            <w:r>
              <w:t>Shoulder height, head length, tusk length/weight, body weight estimate</w:t>
            </w:r>
          </w:p>
        </w:tc>
        <w:tc>
          <w:tcPr>
            <w:tcW w:type="dxa" w:w="4819"/>
            <w:shd w:val="clear" w:color="auto" w:fill="FFFFFF"/>
          </w:tcPr>
          <w:p>
            <w:pPr>
              <w:pStyle w:val="WS_TD"/>
              <w:spacing w:before="40" w:after="40"/>
            </w:pPr>
            <w:r>
              <w:t>Required for age estimation, sex confirmation, forensic records</w:t>
            </w:r>
          </w:p>
        </w:tc>
      </w:tr>
      <w:tr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4. PM Change Assessment</w:t>
            </w:r>
          </w:p>
        </w:tc>
        <w:tc>
          <w:tcPr>
            <w:tcW w:type="dxa" w:w="3118"/>
            <w:shd w:val="clear" w:color="auto" w:fill="EAF7EE"/>
          </w:tcPr>
          <w:p>
            <w:pPr>
              <w:pStyle w:val="WS_TD"/>
              <w:spacing w:before="40" w:after="40"/>
            </w:pPr>
            <w:r>
              <w:t>Rigor, livor, decomposition stage, bloat, skin slippage</w:t>
            </w:r>
          </w:p>
        </w:tc>
        <w:tc>
          <w:tcPr>
            <w:tcW w:type="dxa" w:w="4819"/>
            <w:shd w:val="clear" w:color="auto" w:fill="EAF7EE"/>
          </w:tcPr>
          <w:p>
            <w:pPr>
              <w:pStyle w:val="WS_TD"/>
              <w:spacing w:before="40" w:after="40"/>
            </w:pPr>
            <w:r>
              <w:t>Estimate time since death; affects sample viability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5. Blood Collection</w:t>
            </w:r>
          </w:p>
        </w:tc>
        <w:tc>
          <w:tcPr>
            <w:tcW w:type="dxa" w:w="3118"/>
            <w:shd w:val="clear" w:color="auto" w:fill="FFFFFF"/>
          </w:tcPr>
          <w:p>
            <w:pPr>
              <w:pStyle w:val="WS_TD"/>
              <w:spacing w:before="40" w:after="40"/>
            </w:pPr>
            <w:r>
              <w:t>Jugular/cardiac puncture for EDTA + serum tubes before opening</w:t>
            </w:r>
          </w:p>
        </w:tc>
        <w:tc>
          <w:tcPr>
            <w:tcW w:type="dxa" w:w="4819"/>
            <w:shd w:val="clear" w:color="auto" w:fill="FFFFFF"/>
          </w:tcPr>
          <w:p>
            <w:pPr>
              <w:pStyle w:val="WS_TD"/>
              <w:spacing w:before="40" w:after="40"/>
            </w:pPr>
            <w:r>
              <w:t>Critical — do before any incision</w:t>
            </w:r>
          </w:p>
        </w:tc>
      </w:tr>
      <w:tr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6. Skin Incision</w:t>
            </w:r>
          </w:p>
        </w:tc>
        <w:tc>
          <w:tcPr>
            <w:tcW w:type="dxa" w:w="3118"/>
            <w:shd w:val="clear" w:color="auto" w:fill="EAF7EE"/>
          </w:tcPr>
          <w:p>
            <w:pPr>
              <w:pStyle w:val="WS_TD"/>
              <w:spacing w:before="40" w:after="40"/>
            </w:pPr>
            <w:r>
              <w:t>From jaw to perineum along ventral midline; reflect skin laterally</w:t>
            </w:r>
          </w:p>
        </w:tc>
        <w:tc>
          <w:tcPr>
            <w:tcW w:type="dxa" w:w="4819"/>
            <w:shd w:val="clear" w:color="auto" w:fill="EAF7EE"/>
          </w:tcPr>
          <w:p>
            <w:pPr>
              <w:pStyle w:val="WS_TD"/>
              <w:spacing w:before="40" w:after="40"/>
            </w:pPr>
            <w:r>
              <w:t>Examine subcutaneous tissue, mammary glands, muscle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7. Thoracic Cavity</w:t>
            </w:r>
          </w:p>
        </w:tc>
        <w:tc>
          <w:tcPr>
            <w:tcW w:type="dxa" w:w="3118"/>
            <w:shd w:val="clear" w:color="auto" w:fill="FFFFFF"/>
          </w:tcPr>
          <w:p>
            <w:pPr>
              <w:pStyle w:val="WS_TD"/>
              <w:spacing w:before="40" w:after="40"/>
            </w:pPr>
            <w:r>
              <w:t>Cut through ribs; note lung position, fluid, adhesions; examine pericardium</w:t>
            </w:r>
          </w:p>
        </w:tc>
        <w:tc>
          <w:tcPr>
            <w:tcW w:type="dxa" w:w="4819"/>
            <w:shd w:val="clear" w:color="auto" w:fill="FFFFFF"/>
          </w:tcPr>
          <w:p>
            <w:pPr>
              <w:pStyle w:val="WS_TD"/>
              <w:spacing w:before="40" w:after="40"/>
            </w:pPr>
            <w:r>
              <w:t>Assess lungs (drowning), heart (electrocution/EMCV), fluid volumes</w:t>
            </w:r>
          </w:p>
        </w:tc>
      </w:tr>
      <w:tr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8. Abdominal Cavity</w:t>
            </w:r>
          </w:p>
        </w:tc>
        <w:tc>
          <w:tcPr>
            <w:tcW w:type="dxa" w:w="3118"/>
            <w:shd w:val="clear" w:color="auto" w:fill="EAF7EE"/>
          </w:tcPr>
          <w:p>
            <w:pPr>
              <w:pStyle w:val="WS_TD"/>
              <w:spacing w:before="40" w:after="40"/>
            </w:pPr>
            <w:r>
              <w:t>Open from xiphoid to pubis; assess organs in situ before removal</w:t>
            </w:r>
          </w:p>
        </w:tc>
        <w:tc>
          <w:tcPr>
            <w:tcW w:type="dxa" w:w="4819"/>
            <w:shd w:val="clear" w:color="auto" w:fill="EAF7EE"/>
          </w:tcPr>
          <w:p>
            <w:pPr>
              <w:pStyle w:val="WS_TD"/>
              <w:spacing w:before="40" w:after="40"/>
            </w:pPr>
            <w:r>
              <w:t>Assess liver, spleen, GI tract, reproductive organs, kidney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9. Organ Examination</w:t>
            </w:r>
          </w:p>
        </w:tc>
        <w:tc>
          <w:tcPr>
            <w:tcW w:type="dxa" w:w="3118"/>
            <w:shd w:val="clear" w:color="auto" w:fill="FFFFFF"/>
          </w:tcPr>
          <w:p>
            <w:pPr>
              <w:pStyle w:val="WS_TD"/>
              <w:spacing w:before="40" w:after="40"/>
            </w:pPr>
            <w:r>
              <w:t>Remove and examine each organ systematically; note size, weight, texture, colour</w:t>
            </w:r>
          </w:p>
        </w:tc>
        <w:tc>
          <w:tcPr>
            <w:tcW w:type="dxa" w:w="4819"/>
            <w:shd w:val="clear" w:color="auto" w:fill="FFFFFF"/>
          </w:tcPr>
          <w:p>
            <w:pPr>
              <w:pStyle w:val="WS_TD"/>
              <w:spacing w:before="40" w:after="40"/>
            </w:pPr>
            <w:r>
              <w:t>Collect fresh + fixed samples from each organ</w:t>
            </w:r>
          </w:p>
        </w:tc>
      </w:tr>
      <w:tr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10. Head Examination</w:t>
            </w:r>
          </w:p>
        </w:tc>
        <w:tc>
          <w:tcPr>
            <w:tcW w:type="dxa" w:w="3118"/>
            <w:shd w:val="clear" w:color="auto" w:fill="EAF7EE"/>
          </w:tcPr>
          <w:p>
            <w:pPr>
              <w:pStyle w:val="WS_TD"/>
              <w:spacing w:before="40" w:after="40"/>
            </w:pPr>
            <w:r>
              <w:t>Remove head; saw calvarium; examine brain; examine oral cavity, teeth</w:t>
            </w:r>
          </w:p>
        </w:tc>
        <w:tc>
          <w:tcPr>
            <w:tcW w:type="dxa" w:w="4819"/>
            <w:shd w:val="clear" w:color="auto" w:fill="EAF7EE"/>
          </w:tcPr>
          <w:p>
            <w:pPr>
              <w:pStyle w:val="WS_TD"/>
              <w:spacing w:before="40" w:after="40"/>
            </w:pPr>
            <w:r>
              <w:t>Age by molar; brain for rabies/NiV; nasal turbinates for herpes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11. Molar Age Estimation</w:t>
            </w:r>
          </w:p>
        </w:tc>
        <w:tc>
          <w:tcPr>
            <w:tcW w:type="dxa" w:w="3118"/>
            <w:shd w:val="clear" w:color="auto" w:fill="FFFFFF"/>
          </w:tcPr>
          <w:p>
            <w:pPr>
              <w:pStyle w:val="WS_TD"/>
              <w:spacing w:before="40" w:after="40"/>
            </w:pPr>
            <w:r>
              <w:t>Identify which molar set is in wear; count laminae</w:t>
            </w:r>
          </w:p>
        </w:tc>
        <w:tc>
          <w:tcPr>
            <w:tcW w:type="dxa" w:w="4819"/>
            <w:shd w:val="clear" w:color="auto" w:fill="FFFFFF"/>
          </w:tcPr>
          <w:p>
            <w:pPr>
              <w:pStyle w:val="WS_TD"/>
              <w:spacing w:before="40" w:after="40"/>
            </w:pPr>
            <w:r>
              <w:t>Record which M (M1–M6) is present in each jaw quadrant</w:t>
            </w:r>
          </w:p>
        </w:tc>
      </w:tr>
      <w:tr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12. Lymph Node Survey</w:t>
            </w:r>
          </w:p>
        </w:tc>
        <w:tc>
          <w:tcPr>
            <w:tcW w:type="dxa" w:w="3118"/>
            <w:shd w:val="clear" w:color="auto" w:fill="EAF7EE"/>
          </w:tcPr>
          <w:p>
            <w:pPr>
              <w:pStyle w:val="WS_TD"/>
              <w:spacing w:before="40" w:after="40"/>
            </w:pPr>
            <w:r>
              <w:t>Sample superficial + deep lymph nodes systematically</w:t>
            </w:r>
          </w:p>
        </w:tc>
        <w:tc>
          <w:tcPr>
            <w:tcW w:type="dxa" w:w="4819"/>
            <w:shd w:val="clear" w:color="auto" w:fill="EAF7EE"/>
          </w:tcPr>
          <w:p>
            <w:pPr>
              <w:pStyle w:val="WS_TD"/>
              <w:spacing w:before="40" w:after="40"/>
            </w:pPr>
            <w:r>
              <w:t>Enlargement, abscessation, necrosis — key TB/EEHV indicator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4. Post-Mortem Changes — Time Estimation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PM Change</w:t>
            </w:r>
          </w:p>
        </w:tc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Onset</w:t>
            </w:r>
          </w:p>
        </w:tc>
        <w:tc>
          <w:tcPr>
            <w:tcW w:type="dxa" w:w="1984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311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Use for TSD Estimation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Algor mortis (body cooling)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Immediate — 1°C/hr in still air at 20°C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Until ambient temp reached</w:t>
            </w:r>
          </w:p>
        </w:tc>
        <w:tc>
          <w:tcPr>
            <w:tcW w:type="dxa" w:w="3118"/>
            <w:shd w:val="clear" w:color="auto" w:fill="FFFFFF"/>
          </w:tcPr>
          <w:p>
            <w:pPr>
              <w:pStyle w:val="WS_TD"/>
              <w:spacing w:before="40" w:after="40"/>
            </w:pPr>
            <w:r>
              <w:t>Core temp at PM vs ambient → estimate hrs post-death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Rigor mortis</w:t>
            </w:r>
          </w:p>
        </w:tc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2–6 hrs post-death (faster in heat)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Complete by 12 hrs; resolves by 24–48 hrs</w:t>
            </w:r>
          </w:p>
        </w:tc>
        <w:tc>
          <w:tcPr>
            <w:tcW w:type="dxa" w:w="3118"/>
            <w:shd w:val="clear" w:color="auto" w:fill="EAF7EE"/>
          </w:tcPr>
          <w:p>
            <w:pPr>
              <w:pStyle w:val="WS_TD"/>
              <w:spacing w:before="40" w:after="40"/>
            </w:pPr>
            <w:r>
              <w:t>Present = &lt;24 hrs; absent after resolution = &gt;48 hrs or very early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Livor mortis (lividity)</w:t>
            </w:r>
          </w:p>
        </w:tc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1–3 hrs post-death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Fixed by 8–12 hrs</w:t>
            </w:r>
          </w:p>
        </w:tc>
        <w:tc>
          <w:tcPr>
            <w:tcW w:type="dxa" w:w="3118"/>
            <w:shd w:val="clear" w:color="auto" w:fill="FFFFFF"/>
          </w:tcPr>
          <w:p>
            <w:pPr>
              <w:pStyle w:val="WS_TD"/>
              <w:spacing w:before="40" w:after="40"/>
            </w:pPr>
            <w:r>
              <w:t>Blanches = &lt;8 hrs; fixed = &gt;12 hrs; position of body tells repositioning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5. Molar Age Estimation Guide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Molar Set</w:t>
            </w:r>
          </w:p>
        </w:tc>
        <w:tc>
          <w:tcPr>
            <w:tcW w:type="dxa" w:w="1417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Age in Wear</w:t>
            </w:r>
          </w:p>
        </w:tc>
        <w:tc>
          <w:tcPr>
            <w:tcW w:type="dxa" w:w="1701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Laminae Count</w:t>
            </w:r>
          </w:p>
        </w:tc>
        <w:tc>
          <w:tcPr>
            <w:tcW w:type="dxa" w:w="5102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Field Identification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M1 (dp2)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0–2 years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3–4</w:t>
            </w:r>
          </w:p>
        </w:tc>
        <w:tc>
          <w:tcPr>
            <w:tcW w:type="dxa" w:w="5102"/>
            <w:shd w:val="clear" w:color="auto" w:fill="FFFFFF"/>
          </w:tcPr>
          <w:p>
            <w:pPr>
              <w:pStyle w:val="WS_TD"/>
              <w:spacing w:before="40" w:after="40"/>
            </w:pPr>
            <w:r>
              <w:t>Tiny — often shed before examination; calf only</w:t>
            </w:r>
          </w:p>
        </w:tc>
      </w:tr>
      <w:tr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M2 (dp3)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2–4 years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4</w:t>
            </w:r>
          </w:p>
        </w:tc>
        <w:tc>
          <w:tcPr>
            <w:tcW w:type="dxa" w:w="5102"/>
            <w:shd w:val="clear" w:color="auto" w:fill="EAF7EE"/>
          </w:tcPr>
          <w:p>
            <w:pPr>
              <w:pStyle w:val="WS_TD"/>
              <w:spacing w:before="40" w:after="40"/>
            </w:pPr>
            <w:r>
              <w:t>Small — seen in lower jaw of young calves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M3 (dp4)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4–10 years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5–6</w:t>
            </w:r>
          </w:p>
        </w:tc>
        <w:tc>
          <w:tcPr>
            <w:tcW w:type="dxa" w:w="5102"/>
            <w:shd w:val="clear" w:color="auto" w:fill="FFFFFF"/>
          </w:tcPr>
          <w:p>
            <w:pPr>
              <w:pStyle w:val="WS_TD"/>
              <w:spacing w:before="40" w:after="40"/>
            </w:pPr>
            <w:r>
              <w:t>Medium — main tooth in juveniles; distinct front edge worn</w:t>
            </w:r>
          </w:p>
        </w:tc>
      </w:tr>
      <w:tr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M4 (M1)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8–22 years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7–8</w:t>
            </w:r>
          </w:p>
        </w:tc>
        <w:tc>
          <w:tcPr>
            <w:tcW w:type="dxa" w:w="5102"/>
            <w:shd w:val="clear" w:color="auto" w:fill="EAF7EE"/>
          </w:tcPr>
          <w:p>
            <w:pPr>
              <w:pStyle w:val="WS_TD"/>
              <w:spacing w:before="40" w:after="40"/>
            </w:pPr>
            <w:r>
              <w:t>Sub-adult to young adult — most common in CG casualties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M5 (M2)</w:t>
            </w:r>
          </w:p>
        </w:tc>
        <w:tc>
          <w:tcPr>
            <w:tcW w:type="dxa" w:w="1417"/>
            <w:shd w:val="clear" w:color="auto" w:fill="FFFFFF"/>
          </w:tcPr>
          <w:p>
            <w:pPr>
              <w:pStyle w:val="WS_TD"/>
              <w:spacing w:before="40" w:after="40"/>
            </w:pPr>
            <w:r>
              <w:t>15–45 years</w:t>
            </w:r>
          </w:p>
        </w:tc>
        <w:tc>
          <w:tcPr>
            <w:tcW w:type="dxa" w:w="1701"/>
            <w:shd w:val="clear" w:color="auto" w:fill="FFFFFF"/>
          </w:tcPr>
          <w:p>
            <w:pPr>
              <w:pStyle w:val="WS_TD"/>
              <w:spacing w:before="40" w:after="40"/>
            </w:pPr>
            <w:r>
              <w:t>9–10</w:t>
            </w:r>
          </w:p>
        </w:tc>
        <w:tc>
          <w:tcPr>
            <w:tcW w:type="dxa" w:w="5102"/>
            <w:shd w:val="clear" w:color="auto" w:fill="FFFFFF"/>
          </w:tcPr>
          <w:p>
            <w:pPr>
              <w:pStyle w:val="WS_TD"/>
              <w:spacing w:before="40" w:after="40"/>
            </w:pPr>
            <w:r>
              <w:t>Adult elephant — large, wide; deeply worn ridges</w:t>
            </w:r>
          </w:p>
        </w:tc>
      </w:tr>
      <w:tr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M6 (M3)</w:t>
            </w:r>
          </w:p>
        </w:tc>
        <w:tc>
          <w:tcPr>
            <w:tcW w:type="dxa" w:w="1417"/>
            <w:shd w:val="clear" w:color="auto" w:fill="EAF7EE"/>
          </w:tcPr>
          <w:p>
            <w:pPr>
              <w:pStyle w:val="WS_TD"/>
              <w:spacing w:before="40" w:after="40"/>
            </w:pPr>
            <w:r>
              <w:t>30+ years</w:t>
            </w:r>
          </w:p>
        </w:tc>
        <w:tc>
          <w:tcPr>
            <w:tcW w:type="dxa" w:w="1701"/>
            <w:shd w:val="clear" w:color="auto" w:fill="EAF7EE"/>
          </w:tcPr>
          <w:p>
            <w:pPr>
              <w:pStyle w:val="WS_TD"/>
              <w:spacing w:before="40" w:after="40"/>
            </w:pPr>
            <w:r>
              <w:t>12–14</w:t>
            </w:r>
          </w:p>
        </w:tc>
        <w:tc>
          <w:tcPr>
            <w:tcW w:type="dxa" w:w="5102"/>
            <w:shd w:val="clear" w:color="auto" w:fill="EAF7EE"/>
          </w:tcPr>
          <w:p>
            <w:pPr>
              <w:pStyle w:val="WS_TD"/>
              <w:spacing w:before="40" w:after="40"/>
            </w:pPr>
            <w:r>
              <w:t>Old elephant — last set; wear indicates remaining lifespan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6. Instruments &amp; Equipment List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Instrument</w:t>
            </w:r>
          </w:p>
        </w:tc>
        <w:tc>
          <w:tcPr>
            <w:tcW w:type="dxa" w:w="4252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Use</w:t>
            </w:r>
          </w:p>
        </w:tc>
        <w:tc>
          <w:tcPr>
            <w:tcW w:type="dxa" w:w="2551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Quantity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Postmortem knife (large)</w:t>
            </w:r>
          </w:p>
        </w:tc>
        <w:tc>
          <w:tcPr>
            <w:tcW w:type="dxa" w:w="4252"/>
            <w:shd w:val="clear" w:color="auto" w:fill="FFFFFF"/>
          </w:tcPr>
          <w:p>
            <w:pPr>
              <w:pStyle w:val="WS_TD"/>
              <w:spacing w:before="40" w:after="40"/>
            </w:pPr>
            <w:r>
              <w:t>Primary incisions, organ sectioning</w:t>
            </w:r>
          </w:p>
        </w:tc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2 (one spare)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Butcher knife / boning knife</w:t>
            </w:r>
          </w:p>
        </w:tc>
        <w:tc>
          <w:tcPr>
            <w:tcW w:type="dxa" w:w="4252"/>
            <w:shd w:val="clear" w:color="auto" w:fill="EAF7EE"/>
          </w:tcPr>
          <w:p>
            <w:pPr>
              <w:pStyle w:val="WS_TD"/>
              <w:spacing w:before="40" w:after="40"/>
            </w:pPr>
            <w:r>
              <w:t>Muscle dissection, skinning</w:t>
            </w:r>
          </w:p>
        </w:tc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2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Hand saw or reciprocating bone saw</w:t>
            </w:r>
          </w:p>
        </w:tc>
        <w:tc>
          <w:tcPr>
            <w:tcW w:type="dxa" w:w="4252"/>
            <w:shd w:val="clear" w:color="auto" w:fill="FFFFFF"/>
          </w:tcPr>
          <w:p>
            <w:pPr>
              <w:pStyle w:val="WS_TD"/>
              <w:spacing w:before="40" w:after="40"/>
            </w:pPr>
            <w:r>
              <w:t>Rib cuts, calvarium opening</w:t>
            </w:r>
          </w:p>
        </w:tc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1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Rib shears / heavy scissors</w:t>
            </w:r>
          </w:p>
        </w:tc>
        <w:tc>
          <w:tcPr>
            <w:tcW w:type="dxa" w:w="4252"/>
            <w:shd w:val="clear" w:color="auto" w:fill="EAF7EE"/>
          </w:tcPr>
          <w:p>
            <w:pPr>
              <w:pStyle w:val="WS_TD"/>
              <w:spacing w:before="40" w:after="40"/>
            </w:pPr>
            <w:r>
              <w:t>Costal cartilage, pericardium</w:t>
            </w:r>
          </w:p>
        </w:tc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1 pair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Enterotome (intestinal scissors)</w:t>
            </w:r>
          </w:p>
        </w:tc>
        <w:tc>
          <w:tcPr>
            <w:tcW w:type="dxa" w:w="4252"/>
            <w:shd w:val="clear" w:color="auto" w:fill="FFFFFF"/>
          </w:tcPr>
          <w:p>
            <w:pPr>
              <w:pStyle w:val="WS_TD"/>
              <w:spacing w:before="40" w:after="40"/>
            </w:pPr>
            <w:r>
              <w:t>Opening intestines and stomach</w:t>
            </w:r>
          </w:p>
        </w:tc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1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Brain knife</w:t>
            </w:r>
          </w:p>
        </w:tc>
        <w:tc>
          <w:tcPr>
            <w:tcW w:type="dxa" w:w="4252"/>
            <w:shd w:val="clear" w:color="auto" w:fill="EAF7EE"/>
          </w:tcPr>
          <w:p>
            <w:pPr>
              <w:pStyle w:val="WS_TD"/>
              <w:spacing w:before="40" w:after="40"/>
            </w:pPr>
            <w:r>
              <w:t>Sectioning brain</w:t>
            </w:r>
          </w:p>
        </w:tc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1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Forceps (toothed &amp; plain)</w:t>
            </w:r>
          </w:p>
        </w:tc>
        <w:tc>
          <w:tcPr>
            <w:tcW w:type="dxa" w:w="4252"/>
            <w:shd w:val="clear" w:color="auto" w:fill="FFFFFF"/>
          </w:tcPr>
          <w:p>
            <w:pPr>
              <w:pStyle w:val="WS_TD"/>
              <w:spacing w:before="40" w:after="40"/>
            </w:pPr>
            <w:r>
              <w:t>Tissue handling, lymph node dissection</w:t>
            </w:r>
          </w:p>
        </w:tc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2 pairs each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Spreader / retractor</w:t>
            </w:r>
          </w:p>
        </w:tc>
        <w:tc>
          <w:tcPr>
            <w:tcW w:type="dxa" w:w="4252"/>
            <w:shd w:val="clear" w:color="auto" w:fill="EAF7EE"/>
          </w:tcPr>
          <w:p>
            <w:pPr>
              <w:pStyle w:val="WS_TD"/>
              <w:spacing w:before="40" w:after="40"/>
            </w:pPr>
            <w:r>
              <w:t>Holding cavity open during examination</w:t>
            </w:r>
          </w:p>
        </w:tc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2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Steel ruler/measuring tape</w:t>
            </w:r>
          </w:p>
        </w:tc>
        <w:tc>
          <w:tcPr>
            <w:tcW w:type="dxa" w:w="4252"/>
            <w:shd w:val="clear" w:color="auto" w:fill="FFFFFF"/>
          </w:tcPr>
          <w:p>
            <w:pPr>
              <w:pStyle w:val="WS_TD"/>
              <w:spacing w:before="40" w:after="40"/>
            </w:pPr>
            <w:r>
              <w:t>Body measurements, wound dimensions</w:t>
            </w:r>
          </w:p>
        </w:tc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1 each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Scale (spring balance)</w:t>
            </w:r>
          </w:p>
        </w:tc>
        <w:tc>
          <w:tcPr>
            <w:tcW w:type="dxa" w:w="4252"/>
            <w:shd w:val="clear" w:color="auto" w:fill="EAF7EE"/>
          </w:tcPr>
          <w:p>
            <w:pPr>
              <w:pStyle w:val="WS_TD"/>
              <w:spacing w:before="40" w:after="40"/>
            </w:pPr>
            <w:r>
              <w:t>Organ weights</w:t>
            </w:r>
          </w:p>
        </w:tc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1 (10 kg capacity)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Hacksaw</w:t>
            </w:r>
          </w:p>
        </w:tc>
        <w:tc>
          <w:tcPr>
            <w:tcW w:type="dxa" w:w="4252"/>
            <w:shd w:val="clear" w:color="auto" w:fill="FFFFFF"/>
          </w:tcPr>
          <w:p>
            <w:pPr>
              <w:pStyle w:val="WS_TD"/>
              <w:spacing w:before="40" w:after="40"/>
            </w:pPr>
            <w:r>
              <w:t>Tusk/bone cutting</w:t>
            </w:r>
          </w:p>
        </w:tc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1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Grinding stone</w:t>
            </w:r>
          </w:p>
        </w:tc>
        <w:tc>
          <w:tcPr>
            <w:tcW w:type="dxa" w:w="4252"/>
            <w:shd w:val="clear" w:color="auto" w:fill="EAF7EE"/>
          </w:tcPr>
          <w:p>
            <w:pPr>
              <w:pStyle w:val="WS_TD"/>
              <w:spacing w:before="40" w:after="40"/>
            </w:pPr>
            <w:r>
              <w:t>Sharpening knives in field</w:t>
            </w:r>
          </w:p>
        </w:tc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1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Rope &amp; pulleys</w:t>
            </w:r>
          </w:p>
        </w:tc>
        <w:tc>
          <w:tcPr>
            <w:tcW w:type="dxa" w:w="4252"/>
            <w:shd w:val="clear" w:color="auto" w:fill="FFFFFF"/>
          </w:tcPr>
          <w:p>
            <w:pPr>
              <w:pStyle w:val="WS_TD"/>
              <w:spacing w:before="40" w:after="40"/>
            </w:pPr>
            <w:r>
              <w:t>Positioning carcass — essential for elephant size</w:t>
            </w:r>
          </w:p>
        </w:tc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10 m rope × 4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Tarpaulin sheet</w:t>
            </w:r>
          </w:p>
        </w:tc>
        <w:tc>
          <w:tcPr>
            <w:tcW w:type="dxa" w:w="4252"/>
            <w:shd w:val="clear" w:color="auto" w:fill="EAF7EE"/>
          </w:tcPr>
          <w:p>
            <w:pPr>
              <w:pStyle w:val="WS_TD"/>
              <w:spacing w:before="40" w:after="40"/>
            </w:pPr>
            <w:r>
              <w:t>Working surface under carcass; sample table</w:t>
            </w:r>
          </w:p>
        </w:tc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2 (4 × 4 m)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Generator + lights</w:t>
            </w:r>
          </w:p>
        </w:tc>
        <w:tc>
          <w:tcPr>
            <w:tcW w:type="dxa" w:w="4252"/>
            <w:shd w:val="clear" w:color="auto" w:fill="FFFFFF"/>
          </w:tcPr>
          <w:p>
            <w:pPr>
              <w:pStyle w:val="WS_TD"/>
              <w:spacing w:before="40" w:after="40"/>
            </w:pPr>
            <w:r>
              <w:t>If PM after sunset</w:t>
            </w:r>
          </w:p>
        </w:tc>
        <w:tc>
          <w:tcPr>
            <w:tcW w:type="dxa" w:w="2551"/>
            <w:shd w:val="clear" w:color="auto" w:fill="FFFFFF"/>
          </w:tcPr>
          <w:p>
            <w:pPr>
              <w:pStyle w:val="WS_TD"/>
              <w:spacing w:before="40" w:after="40"/>
            </w:pPr>
            <w:r>
              <w:t>As available</w:t>
            </w:r>
          </w:p>
        </w:tc>
      </w:tr>
      <w:tr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Chainsaw/axe</w:t>
            </w:r>
          </w:p>
        </w:tc>
        <w:tc>
          <w:tcPr>
            <w:tcW w:type="dxa" w:w="4252"/>
            <w:shd w:val="clear" w:color="auto" w:fill="EAF7EE"/>
          </w:tcPr>
          <w:p>
            <w:pPr>
              <w:pStyle w:val="WS_TD"/>
              <w:spacing w:before="40" w:after="40"/>
            </w:pPr>
            <w:r>
              <w:t>Carcass disposal after PM</w:t>
            </w:r>
          </w:p>
        </w:tc>
        <w:tc>
          <w:tcPr>
            <w:tcW w:type="dxa" w:w="2551"/>
            <w:shd w:val="clear" w:color="auto" w:fill="EAF7EE"/>
          </w:tcPr>
          <w:p>
            <w:pPr>
              <w:pStyle w:val="WS_TD"/>
              <w:spacing w:before="40" w:after="40"/>
            </w:pPr>
            <w:r>
              <w:t>As required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7. External Examination Checklist (11 Points)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454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1984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7200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What to Look For / Record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pStyle w:val="WS_TD"/>
              <w:spacing w:before="40" w:after="40"/>
            </w:pPr>
            <w:r>
              <w:t>1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Body Condition</w:t>
            </w:r>
          </w:p>
        </w:tc>
        <w:tc>
          <w:tcPr>
            <w:tcW w:type="dxa" w:w="7200"/>
            <w:shd w:val="clear" w:color="auto" w:fill="FFFFFF"/>
          </w:tcPr>
          <w:p>
            <w:pPr>
              <w:pStyle w:val="WS_TD"/>
              <w:spacing w:before="40" w:after="40"/>
            </w:pPr>
            <w:r>
              <w:t>Emaciated / Poor / Fair / Good / Obese; muscle wastage</w:t>
            </w:r>
          </w:p>
        </w:tc>
      </w:tr>
      <w:tr>
        <w:tc>
          <w:tcPr>
            <w:tcW w:type="dxa" w:w="454"/>
            <w:shd w:val="clear" w:color="auto" w:fill="EAF7EE"/>
          </w:tcPr>
          <w:p>
            <w:pPr>
              <w:pStyle w:val="WS_TD"/>
              <w:spacing w:before="40" w:after="40"/>
            </w:pPr>
            <w:r>
              <w:t>2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Sex Identification</w:t>
            </w:r>
          </w:p>
        </w:tc>
        <w:tc>
          <w:tcPr>
            <w:tcW w:type="dxa" w:w="7200"/>
            <w:shd w:val="clear" w:color="auto" w:fill="EAF7EE"/>
          </w:tcPr>
          <w:p>
            <w:pPr>
              <w:pStyle w:val="WS_TD"/>
              <w:spacing w:before="40" w:after="40"/>
            </w:pPr>
            <w:r>
              <w:t>External genitalia; inter-mammary distance (females); tusk presence/absence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pStyle w:val="WS_TD"/>
              <w:spacing w:before="40" w:after="40"/>
            </w:pPr>
            <w:r>
              <w:t>3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Age Estimation</w:t>
            </w:r>
          </w:p>
        </w:tc>
        <w:tc>
          <w:tcPr>
            <w:tcW w:type="dxa" w:w="7200"/>
            <w:shd w:val="clear" w:color="auto" w:fill="FFFFFF"/>
          </w:tcPr>
          <w:p>
            <w:pPr>
              <w:pStyle w:val="WS_TD"/>
              <w:spacing w:before="40" w:after="40"/>
            </w:pPr>
            <w:r>
              <w:t>Body size class; molar palpation; shoulder height — correlated to age chart</w:t>
            </w:r>
          </w:p>
        </w:tc>
      </w:tr>
      <w:tr>
        <w:tc>
          <w:tcPr>
            <w:tcW w:type="dxa" w:w="454"/>
            <w:shd w:val="clear" w:color="auto" w:fill="EAF7EE"/>
          </w:tcPr>
          <w:p>
            <w:pPr>
              <w:pStyle w:val="WS_TD"/>
              <w:spacing w:before="40" w:after="40"/>
            </w:pPr>
            <w:r>
              <w:t>4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Skin Condition</w:t>
            </w:r>
          </w:p>
        </w:tc>
        <w:tc>
          <w:tcPr>
            <w:tcW w:type="dxa" w:w="7200"/>
            <w:shd w:val="clear" w:color="auto" w:fill="EAF7EE"/>
          </w:tcPr>
          <w:p>
            <w:pPr>
              <w:pStyle w:val="WS_TD"/>
              <w:spacing w:before="40" w:after="40"/>
            </w:pPr>
            <w:r>
              <w:t>Wounds, char marks, ulcers, pox lesions, depigmentation patterns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pStyle w:val="WS_TD"/>
              <w:spacing w:before="40" w:after="40"/>
            </w:pPr>
            <w:r>
              <w:t>5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Head &amp; Face</w:t>
            </w:r>
          </w:p>
        </w:tc>
        <w:tc>
          <w:tcPr>
            <w:tcW w:type="dxa" w:w="7200"/>
            <w:shd w:val="clear" w:color="auto" w:fill="FFFFFF"/>
          </w:tcPr>
          <w:p>
            <w:pPr>
              <w:pStyle w:val="WS_TD"/>
              <w:spacing w:before="40" w:after="40"/>
            </w:pPr>
            <w:r>
              <w:t>Eyes (corneal clarity), temporal gland swelling, depigmentation pattern on trunk/face</w:t>
            </w:r>
          </w:p>
        </w:tc>
      </w:tr>
      <w:tr>
        <w:tc>
          <w:tcPr>
            <w:tcW w:type="dxa" w:w="454"/>
            <w:shd w:val="clear" w:color="auto" w:fill="EAF7EE"/>
          </w:tcPr>
          <w:p>
            <w:pPr>
              <w:pStyle w:val="WS_TD"/>
              <w:spacing w:before="40" w:after="40"/>
            </w:pPr>
            <w:r>
              <w:t>6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Trunk Examination</w:t>
            </w:r>
          </w:p>
        </w:tc>
        <w:tc>
          <w:tcPr>
            <w:tcW w:type="dxa" w:w="7200"/>
            <w:shd w:val="clear" w:color="auto" w:fill="EAF7EE"/>
          </w:tcPr>
          <w:p>
            <w:pPr>
              <w:pStyle w:val="WS_TD"/>
              <w:spacing w:before="40" w:after="40"/>
            </w:pPr>
            <w:r>
              <w:t>Discharge (nasal, oral) — character, colour, smell; swab for culture/PCR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pStyle w:val="WS_TD"/>
              <w:spacing w:before="40" w:after="40"/>
            </w:pPr>
            <w:r>
              <w:t>7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Feet</w:t>
            </w:r>
          </w:p>
        </w:tc>
        <w:tc>
          <w:tcPr>
            <w:tcW w:type="dxa" w:w="7200"/>
            <w:shd w:val="clear" w:color="auto" w:fill="FFFFFF"/>
          </w:tcPr>
          <w:p>
            <w:pPr>
              <w:pStyle w:val="WS_TD"/>
              <w:spacing w:before="40" w:after="40"/>
            </w:pPr>
            <w:r>
              <w:t>Sole condition, nail cracks, arthritis, pad injury; entry/exit wounds for electrocution</w:t>
            </w:r>
          </w:p>
        </w:tc>
      </w:tr>
      <w:tr>
        <w:tc>
          <w:tcPr>
            <w:tcW w:type="dxa" w:w="454"/>
            <w:shd w:val="clear" w:color="auto" w:fill="EAF7EE"/>
          </w:tcPr>
          <w:p>
            <w:pPr>
              <w:pStyle w:val="WS_TD"/>
              <w:spacing w:before="40" w:after="40"/>
            </w:pPr>
            <w:r>
              <w:t>8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Tail</w:t>
            </w:r>
          </w:p>
        </w:tc>
        <w:tc>
          <w:tcPr>
            <w:tcW w:type="dxa" w:w="7200"/>
            <w:shd w:val="clear" w:color="auto" w:fill="EAF7EE"/>
          </w:tcPr>
          <w:p>
            <w:pPr>
              <w:pStyle w:val="WS_TD"/>
              <w:spacing w:before="40" w:after="40"/>
            </w:pPr>
            <w:r>
              <w:t>Length, condition; note if cut (poaching indicator)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pStyle w:val="WS_TD"/>
              <w:spacing w:before="40" w:after="40"/>
            </w:pPr>
            <w:r>
              <w:t>9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Tusk</w:t>
            </w:r>
          </w:p>
        </w:tc>
        <w:tc>
          <w:tcPr>
            <w:tcW w:type="dxa" w:w="7200"/>
            <w:shd w:val="clear" w:color="auto" w:fill="FFFFFF"/>
          </w:tcPr>
          <w:p>
            <w:pPr>
              <w:pStyle w:val="WS_TD"/>
              <w:spacing w:before="40" w:after="40"/>
            </w:pPr>
            <w:r>
              <w:t>Present/absent; length, weight, tip condition; saw cuts (poaching); damage pattern</w:t>
            </w:r>
          </w:p>
        </w:tc>
      </w:tr>
      <w:tr>
        <w:tc>
          <w:tcPr>
            <w:tcW w:type="dxa" w:w="454"/>
            <w:shd w:val="clear" w:color="auto" w:fill="EAF7EE"/>
          </w:tcPr>
          <w:p>
            <w:pPr>
              <w:pStyle w:val="WS_TD"/>
              <w:spacing w:before="40" w:after="40"/>
            </w:pPr>
            <w:r>
              <w:t>10</w:t>
            </w:r>
          </w:p>
        </w:tc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Genitalia</w:t>
            </w:r>
          </w:p>
        </w:tc>
        <w:tc>
          <w:tcPr>
            <w:tcW w:type="dxa" w:w="7200"/>
            <w:shd w:val="clear" w:color="auto" w:fill="EAF7EE"/>
          </w:tcPr>
          <w:p>
            <w:pPr>
              <w:pStyle w:val="WS_TD"/>
              <w:spacing w:before="40" w:after="40"/>
            </w:pPr>
            <w:r>
              <w:t>Female: lactation, pregnancy signs, vulval discharge; Male: scrotal abnormalities, musth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pPr>
              <w:pStyle w:val="WS_TD"/>
              <w:spacing w:before="40" w:after="40"/>
            </w:pPr>
            <w:r>
              <w:t>11</w:t>
            </w:r>
          </w:p>
        </w:tc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Body Orifices</w:t>
            </w:r>
          </w:p>
        </w:tc>
        <w:tc>
          <w:tcPr>
            <w:tcW w:type="dxa" w:w="7200"/>
            <w:shd w:val="clear" w:color="auto" w:fill="FFFFFF"/>
          </w:tcPr>
          <w:p>
            <w:pPr>
              <w:pStyle w:val="WS_TD"/>
              <w:spacing w:before="40" w:after="40"/>
            </w:pPr>
            <w:r>
              <w:t>Nasal: discharge / froth / blood. Oral: ulcers, abnormal wear. Anus: haemorrhage, odour, content colour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8. Lymph Node Survey</w:t>
            </w:r>
          </w:p>
        </w:tc>
      </w:tr>
    </w:tbl>
    <w:p/>
    <w:p>
      <w:pPr>
        <w:pStyle w:val="WS_H2"/>
        <w:ind w:left="170"/>
      </w:pPr>
      <w:r>
        <w:rPr>
          <w:b/>
          <w:color w:val="2D6A4F"/>
        </w:rPr>
        <w:t>Superficial Lymph Nodes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Node</w:t>
            </w:r>
          </w:p>
        </w:tc>
        <w:tc>
          <w:tcPr>
            <w:tcW w:type="dxa" w:w="311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4535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Drains (Region)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Parotid LN</w:t>
            </w:r>
          </w:p>
        </w:tc>
        <w:tc>
          <w:tcPr>
            <w:tcW w:type="dxa" w:w="3118"/>
            <w:shd w:val="clear" w:color="auto" w:fill="FFFFFF"/>
          </w:tcPr>
          <w:p>
            <w:pPr>
              <w:pStyle w:val="WS_TD"/>
              <w:spacing w:before="40" w:after="40"/>
            </w:pPr>
            <w:r>
              <w:t>Ventral to ear, lateral to masseter</w:t>
            </w:r>
          </w:p>
        </w:tc>
        <w:tc>
          <w:tcPr>
            <w:tcW w:type="dxa" w:w="45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Head, ear, parotid gland</w:t>
            </w:r>
          </w:p>
        </w:tc>
      </w:tr>
      <w:tr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Submandibular LN</w:t>
            </w:r>
          </w:p>
        </w:tc>
        <w:tc>
          <w:tcPr>
            <w:tcW w:type="dxa" w:w="3118"/>
            <w:shd w:val="clear" w:color="auto" w:fill="EAF7EE"/>
          </w:tcPr>
          <w:p>
            <w:pPr>
              <w:pStyle w:val="WS_TD"/>
              <w:spacing w:before="40" w:after="40"/>
            </w:pPr>
            <w:r>
              <w:t>Under jaw, near salivary gland</w:t>
            </w:r>
          </w:p>
        </w:tc>
        <w:tc>
          <w:tcPr>
            <w:tcW w:type="dxa" w:w="45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Lower jaw, tongue, floor of mouth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Prescapular LN</w:t>
            </w:r>
          </w:p>
        </w:tc>
        <w:tc>
          <w:tcPr>
            <w:tcW w:type="dxa" w:w="3118"/>
            <w:shd w:val="clear" w:color="auto" w:fill="FFFFFF"/>
          </w:tcPr>
          <w:p>
            <w:pPr>
              <w:pStyle w:val="WS_TD"/>
              <w:spacing w:before="40" w:after="40"/>
            </w:pPr>
            <w:r>
              <w:t>Cranial to shoulder joint</w:t>
            </w:r>
          </w:p>
        </w:tc>
        <w:tc>
          <w:tcPr>
            <w:tcW w:type="dxa" w:w="45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Forelimb, shoulder, neck</w:t>
            </w:r>
          </w:p>
        </w:tc>
      </w:tr>
      <w:tr>
        <w:tc>
          <w:tcPr>
            <w:tcW w:type="dxa" w:w="1984"/>
            <w:shd w:val="clear" w:color="auto" w:fill="EAF7EE"/>
          </w:tcPr>
          <w:p>
            <w:pPr>
              <w:pStyle w:val="WS_TD"/>
              <w:spacing w:before="40" w:after="40"/>
            </w:pPr>
            <w:r>
              <w:t>Inguinal LN</w:t>
            </w:r>
          </w:p>
        </w:tc>
        <w:tc>
          <w:tcPr>
            <w:tcW w:type="dxa" w:w="3118"/>
            <w:shd w:val="clear" w:color="auto" w:fill="EAF7EE"/>
          </w:tcPr>
          <w:p>
            <w:pPr>
              <w:pStyle w:val="WS_TD"/>
              <w:spacing w:before="40" w:after="40"/>
            </w:pPr>
            <w:r>
              <w:t>Groin/medial thigh</w:t>
            </w:r>
          </w:p>
        </w:tc>
        <w:tc>
          <w:tcPr>
            <w:tcW w:type="dxa" w:w="45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Hindlimb, mammary gland (female), prepuce (male)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pStyle w:val="WS_TD"/>
              <w:spacing w:before="40" w:after="40"/>
            </w:pPr>
            <w:r>
              <w:t>Popliteal LN</w:t>
            </w:r>
          </w:p>
        </w:tc>
        <w:tc>
          <w:tcPr>
            <w:tcW w:type="dxa" w:w="3118"/>
            <w:shd w:val="clear" w:color="auto" w:fill="FFFFFF"/>
          </w:tcPr>
          <w:p>
            <w:pPr>
              <w:pStyle w:val="WS_TD"/>
              <w:spacing w:before="40" w:after="40"/>
            </w:pPr>
            <w:r>
              <w:t>Caudal to stifle joint</w:t>
            </w:r>
          </w:p>
        </w:tc>
        <w:tc>
          <w:tcPr>
            <w:tcW w:type="dxa" w:w="45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Distal hindlimb, foot</w:t>
            </w:r>
          </w:p>
        </w:tc>
      </w:tr>
    </w:tbl>
    <w:p/>
    <w:p>
      <w:pPr>
        <w:pStyle w:val="WS_H2"/>
        <w:ind w:left="170"/>
      </w:pPr>
      <w:r>
        <w:rPr>
          <w:b/>
          <w:color w:val="2D6A4F"/>
        </w:rPr>
        <w:t>Deep Lymph Nodes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Node</w:t>
            </w:r>
          </w:p>
        </w:tc>
        <w:tc>
          <w:tcPr>
            <w:tcW w:type="dxa" w:w="2835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Location</w:t>
            </w:r>
          </w:p>
        </w:tc>
        <w:tc>
          <w:tcPr>
            <w:tcW w:type="dxa" w:w="4535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Clinical Significance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Mediastinal LN (cranial)</w:t>
            </w:r>
          </w:p>
        </w:tc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Thoracic cavity, near tracheal bifurcation</w:t>
            </w:r>
          </w:p>
        </w:tc>
        <w:tc>
          <w:tcPr>
            <w:tcW w:type="dxa" w:w="45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TB (most enlarged here); EEHV; lung pathology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Mesenteric LN</w:t>
            </w:r>
          </w:p>
        </w:tc>
        <w:tc>
          <w:tcPr>
            <w:tcW w:type="dxa" w:w="28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Root of mesentery — GI tract</w:t>
            </w:r>
          </w:p>
        </w:tc>
        <w:tc>
          <w:tcPr>
            <w:tcW w:type="dxa" w:w="4535"/>
            <w:shd w:val="clear" w:color="auto" w:fill="EAF7EE"/>
          </w:tcPr>
          <w:p>
            <w:pPr>
              <w:pStyle w:val="WS_TD"/>
              <w:spacing w:before="40" w:after="40"/>
            </w:pPr>
            <w:r>
              <w:t>Salmonella, Clostridium, intestinal TB, Johnes disease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Hepatic/Portal LN</w:t>
            </w:r>
          </w:p>
        </w:tc>
        <w:tc>
          <w:tcPr>
            <w:tcW w:type="dxa" w:w="28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Hepatic hilum, near portal vein</w:t>
            </w:r>
          </w:p>
        </w:tc>
        <w:tc>
          <w:tcPr>
            <w:tcW w:type="dxa" w:w="4535"/>
            <w:shd w:val="clear" w:color="auto" w:fill="FFFFFF"/>
          </w:tcPr>
          <w:p>
            <w:pPr>
              <w:pStyle w:val="WS_TD"/>
              <w:spacing w:before="40" w:after="40"/>
            </w:pPr>
            <w:r>
              <w:t>Liver disease, TB, EEHV haemorrhagic disease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9. EEHV Histopathological Features</w:t>
            </w:r>
          </w:p>
        </w:tc>
      </w:tr>
    </w:tbl>
    <w:p/>
    <w:p>
      <w:pPr>
        <w:pStyle w:val="WS_Body"/>
      </w:pPr>
      <w:r>
        <w:t>Elephant Endotheliotropic Herpesvirus (EEHV) causes haemorrhagic disease primarily in calves 1–8 years. Histopathology is essential for confirmation when PCR is unavailable or negative in decomposed samples.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Organ</w:t>
            </w:r>
          </w:p>
        </w:tc>
        <w:tc>
          <w:tcPr>
            <w:tcW w:type="dxa" w:w="7370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Histopathological Finding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Blood vessel endothelium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Intranuclear herpesviral inclusion bodies (Cowdry type A) in endothelial cells — PATHOGNOMONIC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Heart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Myocarditis; endothelial inclusions in cardiac vessels; myofibre degeneration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Tongue/mouth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Ulceration; endothelial inclusions in submucosal vessels; haemorrhage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Liver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Hepatocyte degeneration; periportal haemorrhage; endothelial inclusions in sinusoids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Spleen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Lymphoid depletion; haemorrhage; endothelial inclusions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Lung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Oedema; haemorrhage; endothelial inclusions in alveolar vessels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Lymph nodes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Haemorrhage; lymphoid depletion; fibrinous exudate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10. Differential Diagnosis — Key Elephant Deaths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Disease/Condition</w:t>
            </w:r>
          </w:p>
        </w:tc>
        <w:tc>
          <w:tcPr>
            <w:tcW w:type="dxa" w:w="3685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Key Distinguishing PM Finding</w:t>
            </w:r>
          </w:p>
        </w:tc>
        <w:tc>
          <w:tcPr>
            <w:tcW w:type="dxa" w:w="3685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Confirmatory Test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EEHV haemorrhagic disease</w:t>
            </w:r>
          </w:p>
        </w:tc>
        <w:tc>
          <w:tcPr>
            <w:tcW w:type="dxa" w:w="3685"/>
            <w:shd w:val="clear" w:color="auto" w:fill="FFFFFF"/>
          </w:tcPr>
          <w:p>
            <w:pPr>
              <w:pStyle w:val="WS_TD"/>
              <w:spacing w:before="40" w:after="40"/>
            </w:pPr>
            <w:r>
              <w:t>Intranuclear inclusions in endothelium; generalised haemorrhage; calf 1–8 yrs</w:t>
            </w:r>
          </w:p>
        </w:tc>
        <w:tc>
          <w:tcPr>
            <w:tcW w:type="dxa" w:w="3685"/>
            <w:shd w:val="clear" w:color="auto" w:fill="FFFFFF"/>
          </w:tcPr>
          <w:p>
            <w:pPr>
              <w:pStyle w:val="WS_TD"/>
              <w:spacing w:before="40" w:after="40"/>
            </w:pPr>
            <w:r>
              <w:t>qPCR (blood, spleen); IHC for EEHV antigen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Tuberculosis (TB)</w:t>
            </w:r>
          </w:p>
        </w:tc>
        <w:tc>
          <w:tcPr>
            <w:tcW w:type="dxa" w:w="3685"/>
            <w:shd w:val="clear" w:color="auto" w:fill="EAF7EE"/>
          </w:tcPr>
          <w:p>
            <w:pPr>
              <w:pStyle w:val="WS_TD"/>
              <w:spacing w:before="40" w:after="40"/>
            </w:pPr>
            <w:r>
              <w:t>Granulomata in lungs/LN; caseous necrosis; Langhans cells in histo</w:t>
            </w:r>
          </w:p>
        </w:tc>
        <w:tc>
          <w:tcPr>
            <w:tcW w:type="dxa" w:w="3685"/>
            <w:shd w:val="clear" w:color="auto" w:fill="EAF7EE"/>
          </w:tcPr>
          <w:p>
            <w:pPr>
              <w:pStyle w:val="WS_TD"/>
              <w:spacing w:before="40" w:after="40"/>
            </w:pPr>
            <w:r>
              <w:t>Trunk wash culture (MGIT); PCR; ELISA (ElephantTB STAT-PAK)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Anthrax</w:t>
            </w:r>
          </w:p>
        </w:tc>
        <w:tc>
          <w:tcPr>
            <w:tcW w:type="dxa" w:w="3685"/>
            <w:shd w:val="clear" w:color="auto" w:fill="FFFFFF"/>
          </w:tcPr>
          <w:p>
            <w:pPr>
              <w:pStyle w:val="WS_TD"/>
              <w:spacing w:before="40" w:after="40"/>
            </w:pPr>
            <w:r>
              <w:t>Peracute death; bloody orifice discharge; no rigor mortis; DO NOT OPEN</w:t>
            </w:r>
          </w:p>
        </w:tc>
        <w:tc>
          <w:tcPr>
            <w:tcW w:type="dxa" w:w="3685"/>
            <w:shd w:val="clear" w:color="auto" w:fill="FFFFFF"/>
          </w:tcPr>
          <w:p>
            <w:pPr>
              <w:pStyle w:val="WS_TD"/>
              <w:spacing w:before="40" w:after="40"/>
            </w:pPr>
            <w:r>
              <w:t>McFadyean stain (blood smear); FAT; PCR — call BSL-3 support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CPA Toxicosis</w:t>
            </w:r>
          </w:p>
        </w:tc>
        <w:tc>
          <w:tcPr>
            <w:tcW w:type="dxa" w:w="3685"/>
            <w:shd w:val="clear" w:color="auto" w:fill="EAF7EE"/>
          </w:tcPr>
          <w:p>
            <w:pPr>
              <w:pStyle w:val="WS_TD"/>
              <w:spacing w:before="40" w:after="40"/>
            </w:pPr>
            <w:r>
              <w:t>Pale friable liver; haemorrhagic enteritis; no specific inclusions; millet in stomach</w:t>
            </w:r>
          </w:p>
        </w:tc>
        <w:tc>
          <w:tcPr>
            <w:tcW w:type="dxa" w:w="3685"/>
            <w:shd w:val="clear" w:color="auto" w:fill="EAF7EE"/>
          </w:tcPr>
          <w:p>
            <w:pPr>
              <w:pStyle w:val="WS_TD"/>
              <w:spacing w:before="40" w:after="40"/>
            </w:pPr>
            <w:r>
              <w:t>LC-MS for CPA in stomach contents and liver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Electrocution</w:t>
            </w:r>
          </w:p>
        </w:tc>
        <w:tc>
          <w:tcPr>
            <w:tcW w:type="dxa" w:w="3685"/>
            <w:shd w:val="clear" w:color="auto" w:fill="FFFFFF"/>
          </w:tcPr>
          <w:p>
            <w:pPr>
              <w:pStyle w:val="WS_TD"/>
              <w:spacing w:before="40" w:after="40"/>
            </w:pPr>
            <w:r>
              <w:t>Char marks at entry/exit; cardiac arrest; no organ-specific pathology</w:t>
            </w:r>
          </w:p>
        </w:tc>
        <w:tc>
          <w:tcPr>
            <w:tcW w:type="dxa" w:w="3685"/>
            <w:shd w:val="clear" w:color="auto" w:fill="FFFFFF"/>
          </w:tcPr>
          <w:p>
            <w:pPr>
              <w:pStyle w:val="WS_TD"/>
              <w:spacing w:before="40" w:after="40"/>
            </w:pPr>
            <w:r>
              <w:t>Scene investigation + gross PM + wire/equipment analysis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Drowning</w:t>
            </w:r>
          </w:p>
        </w:tc>
        <w:tc>
          <w:tcPr>
            <w:tcW w:type="dxa" w:w="3685"/>
            <w:shd w:val="clear" w:color="auto" w:fill="EAF7EE"/>
          </w:tcPr>
          <w:p>
            <w:pPr>
              <w:pStyle w:val="WS_TD"/>
              <w:spacing w:before="40" w:after="40"/>
            </w:pPr>
            <w:r>
              <w:t>Waterlogged lungs; frothy tracheal discharge; water in GI; no char marks</w:t>
            </w:r>
          </w:p>
        </w:tc>
        <w:tc>
          <w:tcPr>
            <w:tcW w:type="dxa" w:w="3685"/>
            <w:shd w:val="clear" w:color="auto" w:fill="EAF7EE"/>
          </w:tcPr>
          <w:p>
            <w:pPr>
              <w:pStyle w:val="WS_TD"/>
              <w:spacing w:before="40" w:after="40"/>
            </w:pPr>
            <w:r>
              <w:t>Diatom test (bone marrow); exclude other causes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Rabies</w:t>
            </w:r>
          </w:p>
        </w:tc>
        <w:tc>
          <w:tcPr>
            <w:tcW w:type="dxa" w:w="3685"/>
            <w:shd w:val="clear" w:color="auto" w:fill="FFFFFF"/>
          </w:tcPr>
          <w:p>
            <w:pPr>
              <w:pStyle w:val="WS_TD"/>
              <w:spacing w:before="40" w:after="40"/>
            </w:pPr>
            <w:r>
              <w:t>Behavioural changes ante-mortem; aggression; carcass found in forest</w:t>
            </w:r>
          </w:p>
        </w:tc>
        <w:tc>
          <w:tcPr>
            <w:tcW w:type="dxa" w:w="3685"/>
            <w:shd w:val="clear" w:color="auto" w:fill="FFFFFF"/>
          </w:tcPr>
          <w:p>
            <w:pPr>
              <w:pStyle w:val="WS_TD"/>
              <w:spacing w:before="40" w:after="40"/>
            </w:pPr>
            <w:r>
              <w:t>Seller's stain (brain smear); FAT; PCR on brain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HCN Poisoning</w:t>
            </w:r>
          </w:p>
        </w:tc>
        <w:tc>
          <w:tcPr>
            <w:tcW w:type="dxa" w:w="3685"/>
            <w:shd w:val="clear" w:color="auto" w:fill="EAF7EE"/>
          </w:tcPr>
          <w:p>
            <w:pPr>
              <w:pStyle w:val="WS_TD"/>
              <w:spacing w:before="40" w:after="40"/>
            </w:pPr>
            <w:r>
              <w:t>Cherry-red blood; bitter almond smell; peracute death</w:t>
            </w:r>
          </w:p>
        </w:tc>
        <w:tc>
          <w:tcPr>
            <w:tcW w:type="dxa" w:w="3685"/>
            <w:shd w:val="clear" w:color="auto" w:fill="EAF7EE"/>
          </w:tcPr>
          <w:p>
            <w:pPr>
              <w:pStyle w:val="WS_TD"/>
              <w:spacing w:before="40" w:after="40"/>
            </w:pPr>
            <w:r>
              <w:t>Conway microdiffusion (fresh stomach contents) — run immediately</w:t>
            </w:r>
          </w:p>
        </w:tc>
      </w:tr>
    </w:tbl>
    <w:p/>
    <w:p>
      <w:pPr>
        <w:pStyle w:val="WS_H2"/>
        <w:ind w:left="170"/>
      </w:pPr>
      <w:r>
        <w:rPr>
          <w:b/>
          <w:color w:val="2D6A4F"/>
        </w:rPr>
        <w:t>Panna Tiger Reserve — Rabies Case (Reference Case)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7370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Location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Panna Tiger Reserve, Madhya Pradesh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Clinical signs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Progressive behavioural change: restlessness → aggression → inability to swallow → paralysis → death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PM findings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No specific gross lesion; mild cerebral congestion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Diagnosis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Seller's stain: Negri bodies in Purkinje cells and pyramidal neurons of hippocampus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FAT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Positive for Rabies antigen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Significance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Demonstrates that wildlife rabies occurs in elephants — usually transmitted via bite from infected dog or wild carnivore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PPE Note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FULL PPE for brain examination when rabies suspected — zoonotic and fatal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D6A4F"/>
          </w:tcPr>
          <w:p>
            <w:pPr>
              <w:pStyle w:val="WS_H1"/>
              <w:spacing w:before="40" w:after="40"/>
            </w:pPr>
            <w:r>
              <w:rPr>
                <w:b/>
                <w:color w:val="FFFFFF"/>
              </w:rPr>
              <w:t>11. PM Report — Documentation Checklist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7370"/>
            <w:shd w:val="clear" w:color="auto" w:fill="2D6A4F"/>
          </w:tcPr>
          <w:p>
            <w:pPr>
              <w:pStyle w:val="WS_TH"/>
              <w:spacing w:before="60" w:after="60"/>
            </w:pPr>
            <w:r>
              <w:rPr>
                <w:b/>
                <w:color w:val="FFFFFF"/>
              </w:rPr>
              <w:t>Items to Include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Case Identification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Case No., Date, Time, GPS of site, Forest Division, Range, Beat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Animal Details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Species, Sex, Age class, Body weight estimate, Tusk status, ID marks (deformities, notches)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History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Date/time found dead, last seen alive, reporting person, circumstances, recent herd activity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External Examination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All 11-point checklist items; wound measurements; photographs with scale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PM Changes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Rigor/livor/algor status; decomposition stage; estimated time since death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Thoracic Cavity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Fluid volumes; lung (left/right separately); heart; pericardium; mediastinal LN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Abdominal Cavity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Liver; spleen; kidneys; GI tract (each segment); reproductive organs; mesenteric LN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Head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Brain; molar teeth (M1–M6 — which in wear, which quadrants); nasal turbinates; tongue; eyes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Samples Collected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Complete list with container type, volume, preservation method, and cold chain status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Provisional CoD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Based on gross PM — to be confirmed by laboratory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pStyle w:val="WS_TD"/>
              <w:spacing w:before="40" w:after="40"/>
            </w:pPr>
            <w:r>
              <w:t>Recommendations</w:t>
            </w:r>
          </w:p>
        </w:tc>
        <w:tc>
          <w:tcPr>
            <w:tcW w:type="dxa" w:w="7370"/>
            <w:shd w:val="clear" w:color="auto" w:fill="FFFFFF"/>
          </w:tcPr>
          <w:p>
            <w:pPr>
              <w:pStyle w:val="WS_TD"/>
              <w:spacing w:before="40" w:after="40"/>
            </w:pPr>
            <w:r>
              <w:t>Any immediate management action required; environmental investigation needed</w:t>
            </w:r>
          </w:p>
        </w:tc>
      </w:tr>
      <w:tr>
        <w:tc>
          <w:tcPr>
            <w:tcW w:type="dxa" w:w="2268"/>
            <w:shd w:val="clear" w:color="auto" w:fill="EAF7EE"/>
          </w:tcPr>
          <w:p>
            <w:pPr>
              <w:pStyle w:val="WS_TD"/>
              <w:spacing w:before="40" w:after="40"/>
            </w:pPr>
            <w:r>
              <w:t>Signatures</w:t>
            </w:r>
          </w:p>
        </w:tc>
        <w:tc>
          <w:tcPr>
            <w:tcW w:type="dxa" w:w="7370"/>
            <w:shd w:val="clear" w:color="auto" w:fill="EAF7EE"/>
          </w:tcPr>
          <w:p>
            <w:pPr>
              <w:pStyle w:val="WS_TD"/>
              <w:spacing w:before="40" w:after="40"/>
            </w:pPr>
            <w:r>
              <w:t>Lead veterinarian, assisting staff, forest officer present, date and official stamp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D8F3DC"/>
          </w:tcPr>
          <w:p>
            <w:pPr>
              <w:spacing w:before="80" w:after="80"/>
            </w:pPr>
            <w:r>
              <w:rPr>
                <w:b/>
                <w:color w:val="1B4332"/>
                <w:sz w:val="18"/>
              </w:rPr>
              <w:t>"Doctors who perform necropsies gain wisdom that no textbook can teach. The postmortem examination is the final clinical act — performed for the living, not the dead."  — Dr. A. B. Shrivastav, NDVSU Jabalpur (2014)</w:t>
            </w:r>
          </w:p>
        </w:tc>
      </w:tr>
    </w:tbl>
    <w:p/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S_Title">
    <w:name w:val="WS_Title"/>
    <w:basedOn w:val="Normal"/>
    <w:pPr>
      <w:spacing w:before="0" w:after="80"/>
      <w:jc w:val="center"/>
    </w:pPr>
    <w:rPr>
      <w:rFonts w:ascii="Calibri" w:hAnsi="Calibri"/>
      <w:b/>
      <w:i w:val="0"/>
      <w:color w:val="FFFFFF"/>
      <w:sz w:val="36"/>
    </w:rPr>
  </w:style>
  <w:style w:type="paragraph" w:customStyle="1" w:styleId="WS_Sub">
    <w:name w:val="WS_Sub"/>
    <w:basedOn w:val="Normal"/>
    <w:pPr>
      <w:spacing w:before="0" w:after="40"/>
      <w:jc w:val="center"/>
    </w:pPr>
    <w:rPr>
      <w:rFonts w:ascii="Calibri" w:hAnsi="Calibri"/>
      <w:b w:val="0"/>
      <w:i/>
      <w:color w:val="D8F3DC"/>
      <w:sz w:val="20"/>
    </w:rPr>
  </w:style>
  <w:style w:type="paragraph" w:customStyle="1" w:styleId="WS_H1">
    <w:name w:val="WS_H1"/>
    <w:basedOn w:val="Normal"/>
    <w:pPr>
      <w:spacing w:before="160" w:after="40"/>
    </w:pPr>
    <w:rPr>
      <w:rFonts w:ascii="Calibri" w:hAnsi="Calibri"/>
      <w:b/>
      <w:i w:val="0"/>
      <w:color w:val="FFFFFF"/>
      <w:sz w:val="22"/>
    </w:rPr>
  </w:style>
  <w:style w:type="paragraph" w:customStyle="1" w:styleId="WS_H2">
    <w:name w:val="WS_H2"/>
    <w:basedOn w:val="Normal"/>
    <w:pPr>
      <w:spacing w:before="120" w:after="40"/>
    </w:pPr>
    <w:rPr>
      <w:rFonts w:ascii="Calibri" w:hAnsi="Calibri"/>
      <w:b/>
      <w:i w:val="0"/>
      <w:color w:val="1B4332"/>
      <w:sz w:val="20"/>
    </w:rPr>
  </w:style>
  <w:style w:type="paragraph" w:customStyle="1" w:styleId="WS_Body">
    <w:name w:val="WS_Body"/>
    <w:basedOn w:val="Normal"/>
    <w:pPr>
      <w:spacing w:before="0" w:after="80"/>
    </w:pPr>
    <w:rPr>
      <w:rFonts w:ascii="Calibri" w:hAnsi="Calibri"/>
      <w:b w:val="0"/>
      <w:i w:val="0"/>
      <w:color w:val="1A1A1A"/>
      <w:sz w:val="19"/>
    </w:rPr>
  </w:style>
  <w:style w:type="paragraph" w:customStyle="1" w:styleId="WS_Bold">
    <w:name w:val="WS_Bold"/>
    <w:basedOn w:val="Normal"/>
    <w:pPr>
      <w:spacing w:before="0" w:after="80"/>
    </w:pPr>
    <w:rPr>
      <w:rFonts w:ascii="Calibri" w:hAnsi="Calibri"/>
      <w:b/>
      <w:i w:val="0"/>
      <w:color w:val="1A1A1A"/>
      <w:sz w:val="19"/>
    </w:rPr>
  </w:style>
  <w:style w:type="paragraph" w:customStyle="1" w:styleId="WS_Bullet">
    <w:name w:val="WS_Bullet"/>
    <w:basedOn w:val="Normal"/>
    <w:pPr>
      <w:spacing w:before="0" w:after="40"/>
    </w:pPr>
    <w:rPr>
      <w:rFonts w:ascii="Calibri" w:hAnsi="Calibri"/>
      <w:b w:val="0"/>
      <w:i w:val="0"/>
      <w:color w:val="1A1A1A"/>
      <w:sz w:val="18"/>
    </w:rPr>
  </w:style>
  <w:style w:type="paragraph" w:customStyle="1" w:styleId="WS_Caption">
    <w:name w:val="WS_Caption"/>
    <w:basedOn w:val="Normal"/>
    <w:pPr>
      <w:spacing w:before="0" w:after="80"/>
      <w:jc w:val="center"/>
    </w:pPr>
    <w:rPr>
      <w:rFonts w:ascii="Calibri" w:hAnsi="Calibri"/>
      <w:b w:val="0"/>
      <w:i/>
      <w:color w:val="555555"/>
      <w:sz w:val="16"/>
    </w:rPr>
  </w:style>
  <w:style w:type="paragraph" w:customStyle="1" w:styleId="WS_TH">
    <w:name w:val="WS_TH"/>
    <w:basedOn w:val="Normal"/>
    <w:pPr>
      <w:spacing w:before="0" w:after="0"/>
      <w:jc w:val="center"/>
    </w:pPr>
    <w:rPr>
      <w:rFonts w:ascii="Calibri" w:hAnsi="Calibri"/>
      <w:b/>
      <w:i w:val="0"/>
      <w:color w:val="FFFFFF"/>
      <w:sz w:val="17"/>
    </w:rPr>
  </w:style>
  <w:style w:type="paragraph" w:customStyle="1" w:styleId="WS_TD">
    <w:name w:val="WS_TD"/>
    <w:basedOn w:val="Normal"/>
    <w:pPr>
      <w:spacing w:before="0" w:after="0"/>
    </w:pPr>
    <w:rPr>
      <w:rFonts w:ascii="Calibri" w:hAnsi="Calibri"/>
      <w:b w:val="0"/>
      <w:i w:val="0"/>
      <w:color w:val="1A1A1A"/>
      <w:sz w:val="17"/>
    </w:rPr>
  </w:style>
  <w:style w:type="paragraph" w:customStyle="1" w:styleId="WS_TDC">
    <w:name w:val="WS_TDC"/>
    <w:basedOn w:val="Normal"/>
    <w:pPr>
      <w:spacing w:before="0" w:after="0"/>
      <w:jc w:val="center"/>
    </w:pPr>
    <w:rPr>
      <w:rFonts w:ascii="Calibri" w:hAnsi="Calibri"/>
      <w:b w:val="0"/>
      <w:i w:val="0"/>
      <w:color w:val="1A1A1A"/>
      <w:sz w:val="17"/>
    </w:rPr>
  </w:style>
  <w:style w:type="paragraph" w:customStyle="1" w:styleId="WS_TDB">
    <w:name w:val="WS_TDB"/>
    <w:basedOn w:val="Normal"/>
    <w:pPr>
      <w:spacing w:before="0" w:after="0"/>
    </w:pPr>
    <w:rPr>
      <w:rFonts w:ascii="Calibri" w:hAnsi="Calibri"/>
      <w:b/>
      <w:i w:val="0"/>
      <w:color w:val="1B4332"/>
      <w:sz w:val="17"/>
    </w:rPr>
  </w:style>
  <w:style w:type="paragraph" w:customStyle="1" w:styleId="WS_Note">
    <w:name w:val="WS_Note"/>
    <w:basedOn w:val="Normal"/>
    <w:pPr>
      <w:spacing w:before="0" w:after="60"/>
    </w:pPr>
    <w:rPr>
      <w:rFonts w:ascii="Calibri" w:hAnsi="Calibri"/>
      <w:b w:val="0"/>
      <w:i/>
      <w:color w:val="C0392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 — Postmortem Examination of the Asian Elephant</dc:title>
  <dc:subject/>
  <dc:creator>Chhattisgarh Forest Department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