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4332"/>
          </w:tcPr>
          <w:p>
            <w:pPr>
              <w:pStyle w:val="WS_Title"/>
              <w:spacing w:before="120" w:after="120"/>
            </w:pPr>
            <w:r>
              <w:rPr>
                <w:color w:val="52B788"/>
                <w:sz w:val="16"/>
              </w:rPr>
              <w:t>CHAPTER 1</w:t>
            </w:r>
            <w:r>
              <w:br/>
            </w:r>
            <w:r>
              <w:rPr>
                <w:b/>
                <w:color w:val="FFFFFF"/>
                <w:sz w:val="32"/>
              </w:rPr>
              <w:t>Elephant Mortality Analysis in Chhattisgarh (2021–2026)</w:t>
            </w:r>
            <w:r>
              <w:br/>
            </w:r>
            <w:r>
              <w:rPr>
                <w:i/>
                <w:color w:val="D8F3DC"/>
                <w:sz w:val="19"/>
              </w:rPr>
              <w:t>Trends, Causes, Demographics &amp; Priority Recommendations</w:t>
            </w:r>
            <w:r>
              <w:br/>
              <w:br/>
            </w:r>
            <w:r>
              <w:rPr>
                <w:color w:val="D8F3DC"/>
                <w:sz w:val="17"/>
              </w:rPr>
              <w:t>Chhattisgarh Forest Department  |  Technical Support: WII Dehradun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1. Elephant Population Status in Chhattisgarh</w:t>
            </w:r>
          </w:p>
        </w:tc>
      </w:tr>
    </w:tbl>
    <w:p/>
    <w:p>
      <w:pPr>
        <w:pStyle w:val="WS_Body"/>
      </w:pPr>
      <w:r>
        <w:t>Chhattisgarh has witnessed remarkable elephant population growth over two decades. From just 24 individuals in 2001 (transient from Odisha/Jharkhand), the population has grown to an estimated 451 in 2026 — a CAGR of approximately 13%. Resident breeding populations are established across Dharamjaigarh (DH) and Raigarh (RG) Divisions.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Year</w:t>
            </w:r>
          </w:p>
        </w:tc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Population Count</w:t>
            </w:r>
          </w:p>
        </w:tc>
        <w:tc>
          <w:tcPr>
            <w:tcW w:type="dxa" w:w="5953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Remarks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2001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24</w:t>
            </w:r>
          </w:p>
        </w:tc>
        <w:tc>
          <w:tcPr>
            <w:tcW w:type="dxa" w:w="5953"/>
            <w:shd w:val="clear" w:color="auto" w:fill="FFFFFF"/>
          </w:tcPr>
          <w:p>
            <w:pPr>
              <w:pStyle w:val="WS_TD"/>
              <w:spacing w:before="40" w:after="40"/>
            </w:pPr>
            <w:r>
              <w:t>First recorded transient elephants from Odisha</w:t>
            </w:r>
          </w:p>
        </w:tc>
      </w:tr>
      <w:tr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2005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123</w:t>
            </w:r>
          </w:p>
        </w:tc>
        <w:tc>
          <w:tcPr>
            <w:tcW w:type="dxa" w:w="5953"/>
            <w:shd w:val="clear" w:color="auto" w:fill="EAF7EE"/>
          </w:tcPr>
          <w:p>
            <w:pPr>
              <w:pStyle w:val="WS_TD"/>
              <w:spacing w:before="40" w:after="40"/>
            </w:pPr>
            <w:r>
              <w:t>Rapid establishment of resident herds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2007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122</w:t>
            </w:r>
          </w:p>
        </w:tc>
        <w:tc>
          <w:tcPr>
            <w:tcW w:type="dxa" w:w="5953"/>
            <w:shd w:val="clear" w:color="auto" w:fill="FFFFFF"/>
          </w:tcPr>
          <w:p>
            <w:pPr>
              <w:pStyle w:val="WS_TD"/>
              <w:spacing w:before="40" w:after="40"/>
            </w:pPr>
            <w:r>
              <w:t>Stable — consolidation phase</w:t>
            </w:r>
          </w:p>
        </w:tc>
      </w:tr>
      <w:tr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2015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247</w:t>
            </w:r>
          </w:p>
        </w:tc>
        <w:tc>
          <w:tcPr>
            <w:tcW w:type="dxa" w:w="5953"/>
            <w:shd w:val="clear" w:color="auto" w:fill="EAF7EE"/>
          </w:tcPr>
          <w:p>
            <w:pPr>
              <w:pStyle w:val="WS_TD"/>
              <w:spacing w:before="40" w:after="40"/>
            </w:pPr>
            <w:r>
              <w:t>Continued range expansion into new areas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2017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247</w:t>
            </w:r>
          </w:p>
        </w:tc>
        <w:tc>
          <w:tcPr>
            <w:tcW w:type="dxa" w:w="5953"/>
            <w:shd w:val="clear" w:color="auto" w:fill="FFFFFF"/>
          </w:tcPr>
          <w:p>
            <w:pPr>
              <w:pStyle w:val="WS_TD"/>
              <w:spacing w:before="40" w:after="40"/>
            </w:pPr>
            <w:r>
              <w:t>Stable; human-elephant conflict rising</w:t>
            </w:r>
          </w:p>
        </w:tc>
      </w:tr>
      <w:tr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2021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279</w:t>
            </w:r>
          </w:p>
        </w:tc>
        <w:tc>
          <w:tcPr>
            <w:tcW w:type="dxa" w:w="5953"/>
            <w:shd w:val="clear" w:color="auto" w:fill="EAF7EE"/>
          </w:tcPr>
          <w:p>
            <w:pPr>
              <w:pStyle w:val="WS_TD"/>
              <w:spacing w:before="40" w:after="40"/>
            </w:pPr>
            <w:r>
              <w:t>Post-COVID survey — increased mortality recorded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2026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~451 (est.)</w:t>
            </w:r>
          </w:p>
        </w:tc>
        <w:tc>
          <w:tcPr>
            <w:tcW w:type="dxa" w:w="5953"/>
            <w:shd w:val="clear" w:color="auto" w:fill="FFFFFF"/>
          </w:tcPr>
          <w:p>
            <w:pPr>
              <w:pStyle w:val="WS_TD"/>
              <w:spacing w:before="40" w:after="40"/>
            </w:pPr>
            <w:r>
              <w:t>Highest ever; detailed census ongoing | CAGR ≈ 13%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2. Elephant Casualty Analysis (2021–2026)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DBD8"/>
          </w:tcPr>
          <w:p>
            <w:pPr>
              <w:spacing w:before="80" w:after="80"/>
            </w:pPr>
            <w:r>
              <w:rPr>
                <w:b/>
                <w:color w:val="C0392B"/>
                <w:sz w:val="18"/>
              </w:rPr>
              <w:t>TOTAL: 49 Elephant Deaths | DH Division: 27 | RG Division: 22 | 2025-26: 12 deaths (RECORD HIGH) — Immediate intervention required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17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Year</w:t>
            </w:r>
          </w:p>
        </w:tc>
        <w:tc>
          <w:tcPr>
            <w:tcW w:type="dxa" w:w="1417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DH Division</w:t>
            </w:r>
          </w:p>
        </w:tc>
        <w:tc>
          <w:tcPr>
            <w:tcW w:type="dxa" w:w="1417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RG Division</w:t>
            </w:r>
          </w:p>
        </w:tc>
        <w:tc>
          <w:tcPr>
            <w:tcW w:type="dxa" w:w="1247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4139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Remarks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2021-22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2</w:t>
            </w:r>
          </w:p>
        </w:tc>
        <w:tc>
          <w:tcPr>
            <w:tcW w:type="dxa" w:w="1247"/>
            <w:shd w:val="clear" w:color="auto" w:fill="FFFFFF"/>
          </w:tcPr>
          <w:p>
            <w:pPr>
              <w:pStyle w:val="WS_TD"/>
              <w:spacing w:before="40" w:after="40"/>
            </w:pPr>
            <w:r>
              <w:t>4</w:t>
            </w:r>
          </w:p>
        </w:tc>
        <w:tc>
          <w:tcPr>
            <w:tcW w:type="dxa" w:w="4139"/>
            <w:shd w:val="clear" w:color="auto" w:fill="FFFFFF"/>
          </w:tcPr>
          <w:p>
            <w:pPr>
              <w:pStyle w:val="WS_TD"/>
              <w:spacing w:before="40" w:after="40"/>
            </w:pPr>
            <w:r>
              <w:t>Baseline year — low mortality</w:t>
            </w:r>
          </w:p>
        </w:tc>
      </w:tr>
      <w:tr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2022-23</w:t>
            </w:r>
          </w:p>
        </w:tc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7</w:t>
            </w:r>
          </w:p>
        </w:tc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5</w:t>
            </w:r>
          </w:p>
        </w:tc>
        <w:tc>
          <w:tcPr>
            <w:tcW w:type="dxa" w:w="1247"/>
            <w:shd w:val="clear" w:color="auto" w:fill="EAF7EE"/>
          </w:tcPr>
          <w:p>
            <w:pPr>
              <w:pStyle w:val="WS_TD"/>
              <w:spacing w:before="40" w:after="40"/>
            </w:pPr>
            <w:r>
              <w:t>12</w:t>
            </w:r>
          </w:p>
        </w:tc>
        <w:tc>
          <w:tcPr>
            <w:tcW w:type="dxa" w:w="4139"/>
            <w:shd w:val="clear" w:color="auto" w:fill="EAF7EE"/>
          </w:tcPr>
          <w:p>
            <w:pPr>
              <w:pStyle w:val="WS_TD"/>
              <w:spacing w:before="40" w:after="40"/>
            </w:pPr>
            <w:r>
              <w:t>Surge in deaths — monsoon related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2023-24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3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pStyle w:val="WS_TD"/>
              <w:spacing w:before="40" w:after="40"/>
            </w:pPr>
            <w:r>
              <w:t>6</w:t>
            </w:r>
          </w:p>
        </w:tc>
        <w:tc>
          <w:tcPr>
            <w:tcW w:type="dxa" w:w="4139"/>
            <w:shd w:val="clear" w:color="auto" w:fill="FFFFFF"/>
          </w:tcPr>
          <w:p>
            <w:pPr>
              <w:pStyle w:val="WS_TD"/>
              <w:spacing w:before="40" w:after="40"/>
            </w:pPr>
            <w:r>
              <w:t>Relatively low year</w:t>
            </w:r>
          </w:p>
        </w:tc>
      </w:tr>
      <w:tr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2024-25</w:t>
            </w:r>
          </w:p>
        </w:tc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6</w:t>
            </w:r>
          </w:p>
        </w:tc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4</w:t>
            </w:r>
          </w:p>
        </w:tc>
        <w:tc>
          <w:tcPr>
            <w:tcW w:type="dxa" w:w="1247"/>
            <w:shd w:val="clear" w:color="auto" w:fill="EAF7EE"/>
          </w:tcPr>
          <w:p>
            <w:pPr>
              <w:pStyle w:val="WS_TD"/>
              <w:spacing w:before="40" w:after="40"/>
            </w:pPr>
            <w:r>
              <w:t>10</w:t>
            </w:r>
          </w:p>
        </w:tc>
        <w:tc>
          <w:tcPr>
            <w:tcW w:type="dxa" w:w="4139"/>
            <w:shd w:val="clear" w:color="auto" w:fill="EAF7EE"/>
          </w:tcPr>
          <w:p>
            <w:pPr>
              <w:pStyle w:val="WS_TD"/>
              <w:spacing w:before="40" w:after="40"/>
            </w:pPr>
            <w:r>
              <w:t>Rising trend resumes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2025-26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7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5</w:t>
            </w:r>
          </w:p>
        </w:tc>
        <w:tc>
          <w:tcPr>
            <w:tcW w:type="dxa" w:w="1247"/>
            <w:shd w:val="clear" w:color="auto" w:fill="FFFFFF"/>
          </w:tcPr>
          <w:p>
            <w:pPr>
              <w:pStyle w:val="WS_TD"/>
              <w:spacing w:before="40" w:after="40"/>
            </w:pPr>
            <w:r>
              <w:rPr>
                <w:b/>
              </w:rPr>
              <w:t>12 — RECORD</w:t>
            </w:r>
          </w:p>
        </w:tc>
        <w:tc>
          <w:tcPr>
            <w:tcW w:type="dxa" w:w="4139"/>
            <w:shd w:val="clear" w:color="auto" w:fill="FFFFFF"/>
          </w:tcPr>
          <w:p>
            <w:pPr>
              <w:pStyle w:val="WS_TD"/>
              <w:spacing w:before="40" w:after="40"/>
            </w:pPr>
            <w:r>
              <w:t>Record high — electrocution predominant</w:t>
            </w:r>
          </w:p>
        </w:tc>
      </w:tr>
      <w:tr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2026-27*</w:t>
            </w:r>
          </w:p>
        </w:tc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2</w:t>
            </w:r>
          </w:p>
        </w:tc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3</w:t>
            </w:r>
          </w:p>
        </w:tc>
        <w:tc>
          <w:tcPr>
            <w:tcW w:type="dxa" w:w="1247"/>
            <w:shd w:val="clear" w:color="auto" w:fill="EAF7EE"/>
          </w:tcPr>
          <w:p>
            <w:pPr>
              <w:pStyle w:val="WS_TD"/>
              <w:spacing w:before="40" w:after="40"/>
            </w:pPr>
            <w:r>
              <w:t>5*</w:t>
            </w:r>
          </w:p>
        </w:tc>
        <w:tc>
          <w:tcPr>
            <w:tcW w:type="dxa" w:w="4139"/>
            <w:shd w:val="clear" w:color="auto" w:fill="EAF7EE"/>
          </w:tcPr>
          <w:p>
            <w:pPr>
              <w:pStyle w:val="WS_TD"/>
              <w:spacing w:before="40" w:after="40"/>
            </w:pPr>
            <w:r>
              <w:t>Ongoing year (as of June 2026)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rPr>
                <w:b/>
              </w:rPr>
              <w:t>TOTAL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rPr>
                <w:b/>
              </w:rPr>
              <w:t>27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rPr>
                <w:b/>
              </w:rPr>
              <w:t>22</w:t>
            </w:r>
          </w:p>
        </w:tc>
        <w:tc>
          <w:tcPr>
            <w:tcW w:type="dxa" w:w="1247"/>
            <w:shd w:val="clear" w:color="auto" w:fill="FFFFFF"/>
          </w:tcPr>
          <w:p>
            <w:pPr>
              <w:pStyle w:val="WS_TD"/>
              <w:spacing w:before="40" w:after="40"/>
            </w:pPr>
            <w:r>
              <w:rPr>
                <w:b/>
              </w:rPr>
              <w:t>49</w:t>
            </w:r>
          </w:p>
        </w:tc>
        <w:tc>
          <w:tcPr>
            <w:tcW w:type="dxa" w:w="4139"/>
            <w:shd w:val="clear" w:color="auto" w:fill="FFFFFF"/>
          </w:tcPr>
          <w:p>
            <w:pPr>
              <w:pStyle w:val="WS_TD"/>
              <w:spacing w:before="40" w:after="40"/>
            </w:pPr>
            <w:r>
              <w:t>Cumulative 2021-2026</w:t>
            </w:r>
          </w:p>
        </w:tc>
      </w:tr>
    </w:tbl>
    <w:p/>
    <w:p>
      <w:pPr>
        <w:pStyle w:val="WS_Bold"/>
      </w:pPr>
      <w:r>
        <w:t>Human deaths in Human-Elephant Conflict: 45 total (DH: 36 | RG: 9) during 2021–2026.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3. Cause of Death Analysis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Cause of Death</w:t>
            </w:r>
          </w:p>
        </w:tc>
        <w:tc>
          <w:tcPr>
            <w:tcW w:type="dxa" w:w="1134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1701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Percentage</w:t>
            </w:r>
          </w:p>
        </w:tc>
        <w:tc>
          <w:tcPr>
            <w:tcW w:type="dxa" w:w="4535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Key Mechanism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Electrocution</w:t>
            </w:r>
          </w:p>
        </w:tc>
        <w:tc>
          <w:tcPr>
            <w:tcW w:type="dxa" w:w="1134"/>
            <w:shd w:val="clear" w:color="auto" w:fill="FFFFFF"/>
          </w:tcPr>
          <w:p>
            <w:pPr>
              <w:pStyle w:val="WS_TD"/>
              <w:spacing w:before="40" w:after="40"/>
            </w:pPr>
            <w:r>
              <w:t>23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47%</w:t>
            </w:r>
          </w:p>
        </w:tc>
        <w:tc>
          <w:tcPr>
            <w:tcW w:type="dxa" w:w="45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Stray power lines, illegal electric fencing around crops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Drowning</w:t>
            </w:r>
          </w:p>
        </w:tc>
        <w:tc>
          <w:tcPr>
            <w:tcW w:type="dxa" w:w="1134"/>
            <w:shd w:val="clear" w:color="auto" w:fill="EAF7EE"/>
          </w:tcPr>
          <w:p>
            <w:pPr>
              <w:pStyle w:val="WS_TD"/>
              <w:spacing w:before="40" w:after="40"/>
            </w:pPr>
            <w:r>
              <w:t>13</w:t>
            </w:r>
          </w:p>
        </w:tc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27%</w:t>
            </w:r>
          </w:p>
        </w:tc>
        <w:tc>
          <w:tcPr>
            <w:tcW w:type="dxa" w:w="45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Calves unable to exit water bodies; steep banks, dams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Natural / Old Age</w:t>
            </w:r>
          </w:p>
        </w:tc>
        <w:tc>
          <w:tcPr>
            <w:tcW w:type="dxa" w:w="1134"/>
            <w:shd w:val="clear" w:color="auto" w:fill="FFFFFF"/>
          </w:tcPr>
          <w:p>
            <w:pPr>
              <w:pStyle w:val="WS_TD"/>
              <w:spacing w:before="40" w:after="40"/>
            </w:pPr>
            <w: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8%</w:t>
            </w:r>
          </w:p>
        </w:tc>
        <w:tc>
          <w:tcPr>
            <w:tcW w:type="dxa" w:w="45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Multi-molar loss, senility — natural attrition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Fall / Trauma</w:t>
            </w:r>
          </w:p>
        </w:tc>
        <w:tc>
          <w:tcPr>
            <w:tcW w:type="dxa" w:w="1134"/>
            <w:shd w:val="clear" w:color="auto" w:fill="EAF7EE"/>
          </w:tcPr>
          <w:p>
            <w:pPr>
              <w:pStyle w:val="WS_TD"/>
              <w:spacing w:before="40" w:after="40"/>
            </w:pPr>
            <w:r>
              <w:t>4</w:t>
            </w:r>
          </w:p>
        </w:tc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8%</w:t>
            </w:r>
          </w:p>
        </w:tc>
        <w:tc>
          <w:tcPr>
            <w:tcW w:type="dxa" w:w="45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Steep terrain, mine shafts, road/rail conflict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Other / Undetermined</w:t>
            </w:r>
          </w:p>
        </w:tc>
        <w:tc>
          <w:tcPr>
            <w:tcW w:type="dxa" w:w="1134"/>
            <w:shd w:val="clear" w:color="auto" w:fill="FFFFFF"/>
          </w:tcPr>
          <w:p>
            <w:pPr>
              <w:pStyle w:val="WS_TD"/>
              <w:spacing w:before="40" w:after="40"/>
            </w:pPr>
            <w:r>
              <w:t>5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10%</w:t>
            </w:r>
          </w:p>
        </w:tc>
        <w:tc>
          <w:tcPr>
            <w:tcW w:type="dxa" w:w="45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Toxicology pending, disease, inter-elephant conflict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DBD8"/>
          </w:tcPr>
          <w:p>
            <w:pPr>
              <w:spacing w:before="80" w:after="80"/>
            </w:pPr>
            <w:r>
              <w:rPr>
                <w:b/>
                <w:color w:val="C0392B"/>
                <w:sz w:val="18"/>
              </w:rPr>
              <w:t>Electrocution + Drowning = 74% of all deaths — both are PREVENTABLE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4. Demographic Analysis of Casualties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Age Category</w:t>
            </w:r>
          </w:p>
        </w:tc>
        <w:tc>
          <w:tcPr>
            <w:tcW w:type="dxa" w:w="1134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1134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%</w:t>
            </w:r>
          </w:p>
        </w:tc>
        <w:tc>
          <w:tcPr>
            <w:tcW w:type="dxa" w:w="5386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Key Vulnerability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Calf (0–2 yr)</w:t>
            </w:r>
          </w:p>
        </w:tc>
        <w:tc>
          <w:tcPr>
            <w:tcW w:type="dxa" w:w="1134"/>
            <w:shd w:val="clear" w:color="auto" w:fill="FFFFFF"/>
          </w:tcPr>
          <w:p>
            <w:pPr>
              <w:pStyle w:val="WS_TD"/>
              <w:spacing w:before="40" w:after="40"/>
            </w:pPr>
            <w:r>
              <w:t>23</w:t>
            </w:r>
          </w:p>
        </w:tc>
        <w:tc>
          <w:tcPr>
            <w:tcW w:type="dxa" w:w="1134"/>
            <w:shd w:val="clear" w:color="auto" w:fill="FFFFFF"/>
          </w:tcPr>
          <w:p>
            <w:pPr>
              <w:pStyle w:val="WS_TD"/>
              <w:spacing w:before="40" w:after="40"/>
            </w:pPr>
            <w:r>
              <w:t>50%</w:t>
            </w:r>
          </w:p>
        </w:tc>
        <w:tc>
          <w:tcPr>
            <w:tcW w:type="dxa" w:w="5386"/>
            <w:shd w:val="clear" w:color="auto" w:fill="FFFFFF"/>
          </w:tcPr>
          <w:p>
            <w:pPr>
              <w:pStyle w:val="WS_TD"/>
              <w:spacing w:before="40" w:after="40"/>
            </w:pPr>
            <w:r>
              <w:t>Drowning (calves cannot exit steep banks), electrocution</w:t>
            </w:r>
          </w:p>
        </w:tc>
      </w:tr>
      <w:tr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Juvenile (2–5 yr)</w:t>
            </w:r>
          </w:p>
        </w:tc>
        <w:tc>
          <w:tcPr>
            <w:tcW w:type="dxa" w:w="1134"/>
            <w:shd w:val="clear" w:color="auto" w:fill="EAF7EE"/>
          </w:tcPr>
          <w:p>
            <w:pPr>
              <w:pStyle w:val="WS_TD"/>
              <w:spacing w:before="40" w:after="40"/>
            </w:pPr>
            <w:r>
              <w:t>5</w:t>
            </w:r>
          </w:p>
        </w:tc>
        <w:tc>
          <w:tcPr>
            <w:tcW w:type="dxa" w:w="1134"/>
            <w:shd w:val="clear" w:color="auto" w:fill="EAF7EE"/>
          </w:tcPr>
          <w:p>
            <w:pPr>
              <w:pStyle w:val="WS_TD"/>
              <w:spacing w:before="40" w:after="40"/>
            </w:pPr>
            <w:r>
              <w:t>11%</w:t>
            </w:r>
          </w:p>
        </w:tc>
        <w:tc>
          <w:tcPr>
            <w:tcW w:type="dxa" w:w="5386"/>
            <w:shd w:val="clear" w:color="auto" w:fill="EAF7EE"/>
          </w:tcPr>
          <w:p>
            <w:pPr>
              <w:pStyle w:val="WS_TD"/>
              <w:spacing w:before="40" w:after="40"/>
            </w:pPr>
            <w:r>
              <w:t>Separation from herd, foraging near crop fields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Sub-adult (5–15 yr)</w:t>
            </w:r>
          </w:p>
        </w:tc>
        <w:tc>
          <w:tcPr>
            <w:tcW w:type="dxa" w:w="1134"/>
            <w:shd w:val="clear" w:color="auto" w:fill="FFFFFF"/>
          </w:tcPr>
          <w:p>
            <w:pPr>
              <w:pStyle w:val="WS_TD"/>
              <w:spacing w:before="40" w:after="40"/>
            </w:pPr>
            <w: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pStyle w:val="WS_TD"/>
              <w:spacing w:before="40" w:after="40"/>
            </w:pPr>
            <w:r>
              <w:t>4%</w:t>
            </w:r>
          </w:p>
        </w:tc>
        <w:tc>
          <w:tcPr>
            <w:tcW w:type="dxa" w:w="5386"/>
            <w:shd w:val="clear" w:color="auto" w:fill="FFFFFF"/>
          </w:tcPr>
          <w:p>
            <w:pPr>
              <w:pStyle w:val="WS_TD"/>
              <w:spacing w:before="40" w:after="40"/>
            </w:pPr>
            <w:r>
              <w:t>Dispersing males — increased exposure to power lines</w:t>
            </w:r>
          </w:p>
        </w:tc>
      </w:tr>
      <w:tr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Adult (15–40 yr)</w:t>
            </w:r>
          </w:p>
        </w:tc>
        <w:tc>
          <w:tcPr>
            <w:tcW w:type="dxa" w:w="1134"/>
            <w:shd w:val="clear" w:color="auto" w:fill="EAF7EE"/>
          </w:tcPr>
          <w:p>
            <w:pPr>
              <w:pStyle w:val="WS_TD"/>
              <w:spacing w:before="40" w:after="40"/>
            </w:pPr>
            <w:r>
              <w:t>11</w:t>
            </w:r>
          </w:p>
        </w:tc>
        <w:tc>
          <w:tcPr>
            <w:tcW w:type="dxa" w:w="1134"/>
            <w:shd w:val="clear" w:color="auto" w:fill="EAF7EE"/>
          </w:tcPr>
          <w:p>
            <w:pPr>
              <w:pStyle w:val="WS_TD"/>
              <w:spacing w:before="40" w:after="40"/>
            </w:pPr>
            <w:r>
              <w:t>24%</w:t>
            </w:r>
          </w:p>
        </w:tc>
        <w:tc>
          <w:tcPr>
            <w:tcW w:type="dxa" w:w="5386"/>
            <w:shd w:val="clear" w:color="auto" w:fill="EAF7EE"/>
          </w:tcPr>
          <w:p>
            <w:pPr>
              <w:pStyle w:val="WS_TD"/>
              <w:spacing w:before="40" w:after="40"/>
            </w:pPr>
            <w:r>
              <w:t>Electrocution in bulls; old cow mortality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Old (&gt;40 yr)</w:t>
            </w:r>
          </w:p>
        </w:tc>
        <w:tc>
          <w:tcPr>
            <w:tcW w:type="dxa" w:w="1134"/>
            <w:shd w:val="clear" w:color="auto" w:fill="FFFFFF"/>
          </w:tcPr>
          <w:p>
            <w:pPr>
              <w:pStyle w:val="WS_TD"/>
              <w:spacing w:before="40" w:after="40"/>
            </w:pPr>
            <w:r>
              <w:t>5</w:t>
            </w:r>
          </w:p>
        </w:tc>
        <w:tc>
          <w:tcPr>
            <w:tcW w:type="dxa" w:w="1134"/>
            <w:shd w:val="clear" w:color="auto" w:fill="FFFFFF"/>
          </w:tcPr>
          <w:p>
            <w:pPr>
              <w:pStyle w:val="WS_TD"/>
              <w:spacing w:before="40" w:after="40"/>
            </w:pPr>
            <w:r>
              <w:t>11%</w:t>
            </w:r>
          </w:p>
        </w:tc>
        <w:tc>
          <w:tcPr>
            <w:tcW w:type="dxa" w:w="5386"/>
            <w:shd w:val="clear" w:color="auto" w:fill="FFFFFF"/>
          </w:tcPr>
          <w:p>
            <w:pPr>
              <w:pStyle w:val="WS_TD"/>
              <w:spacing w:before="40" w:after="40"/>
            </w:pPr>
            <w:r>
              <w:t>Natural senility, molar exhaustion, starvation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Sex</w:t>
            </w:r>
          </w:p>
        </w:tc>
        <w:tc>
          <w:tcPr>
            <w:tcW w:type="dxa" w:w="1134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1134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%</w:t>
            </w:r>
          </w:p>
        </w:tc>
        <w:tc>
          <w:tcPr>
            <w:tcW w:type="dxa" w:w="5669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Notable Pattern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Male</w:t>
            </w:r>
          </w:p>
        </w:tc>
        <w:tc>
          <w:tcPr>
            <w:tcW w:type="dxa" w:w="1134"/>
            <w:shd w:val="clear" w:color="auto" w:fill="FFFFFF"/>
          </w:tcPr>
          <w:p>
            <w:pPr>
              <w:pStyle w:val="WS_TD"/>
              <w:spacing w:before="40" w:after="40"/>
            </w:pPr>
            <w:r>
              <w:t>23</w:t>
            </w:r>
          </w:p>
        </w:tc>
        <w:tc>
          <w:tcPr>
            <w:tcW w:type="dxa" w:w="1134"/>
            <w:shd w:val="clear" w:color="auto" w:fill="FFFFFF"/>
          </w:tcPr>
          <w:p>
            <w:pPr>
              <w:pStyle w:val="WS_TD"/>
              <w:spacing w:before="40" w:after="40"/>
            </w:pPr>
            <w:r>
              <w:t>51%</w:t>
            </w:r>
          </w:p>
        </w:tc>
        <w:tc>
          <w:tcPr>
            <w:tcW w:type="dxa" w:w="5669"/>
            <w:shd w:val="clear" w:color="auto" w:fill="FFFFFF"/>
          </w:tcPr>
          <w:p>
            <w:pPr>
              <w:pStyle w:val="WS_TD"/>
              <w:spacing w:before="40" w:after="40"/>
            </w:pPr>
            <w:r>
              <w:t>48% of male deaths caused by electrocution</w:t>
            </w:r>
          </w:p>
        </w:tc>
      </w:tr>
      <w:tr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Female</w:t>
            </w:r>
          </w:p>
        </w:tc>
        <w:tc>
          <w:tcPr>
            <w:tcW w:type="dxa" w:w="1134"/>
            <w:shd w:val="clear" w:color="auto" w:fill="EAF7EE"/>
          </w:tcPr>
          <w:p>
            <w:pPr>
              <w:pStyle w:val="WS_TD"/>
              <w:spacing w:before="40" w:after="40"/>
            </w:pPr>
            <w:r>
              <w:t>22</w:t>
            </w:r>
          </w:p>
        </w:tc>
        <w:tc>
          <w:tcPr>
            <w:tcW w:type="dxa" w:w="1134"/>
            <w:shd w:val="clear" w:color="auto" w:fill="EAF7EE"/>
          </w:tcPr>
          <w:p>
            <w:pPr>
              <w:pStyle w:val="WS_TD"/>
              <w:spacing w:before="40" w:after="40"/>
            </w:pPr>
            <w:r>
              <w:t>49%</w:t>
            </w:r>
          </w:p>
        </w:tc>
        <w:tc>
          <w:tcPr>
            <w:tcW w:type="dxa" w:w="5669"/>
            <w:shd w:val="clear" w:color="auto" w:fill="EAF7EE"/>
          </w:tcPr>
          <w:p>
            <w:pPr>
              <w:pStyle w:val="WS_TD"/>
              <w:spacing w:before="40" w:after="40"/>
            </w:pPr>
            <w:r>
              <w:t>33% of female deaths caused by electrocution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3DC"/>
          </w:tcPr>
          <w:p>
            <w:pPr>
              <w:spacing w:before="80" w:after="80"/>
            </w:pPr>
            <w:r>
              <w:rPr>
                <w:b/>
                <w:color w:val="1B4332"/>
                <w:sz w:val="18"/>
              </w:rPr>
              <w:t>CRITICAL: Calves (0-2 yr) = 50% of all deaths and 92% of drowning deaths. Drowning prevention infrastructure is the highest-impact single intervention.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5. Seasonal Variation in Mortality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Season</w:t>
            </w:r>
          </w:p>
        </w:tc>
        <w:tc>
          <w:tcPr>
            <w:tcW w:type="dxa" w:w="1417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Months</w:t>
            </w:r>
          </w:p>
        </w:tc>
        <w:tc>
          <w:tcPr>
            <w:tcW w:type="dxa" w:w="1417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Drowning</w:t>
            </w:r>
          </w:p>
        </w:tc>
        <w:tc>
          <w:tcPr>
            <w:tcW w:type="dxa" w:w="1701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Electrocution</w:t>
            </w:r>
          </w:p>
        </w:tc>
        <w:tc>
          <w:tcPr>
            <w:tcW w:type="dxa" w:w="2835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Key Driver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Dry Season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Jan–May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8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6</w:t>
            </w:r>
          </w:p>
        </w:tc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Low water levels — calves trapped in drying pools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Monsoon</w:t>
            </w:r>
          </w:p>
        </w:tc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Jun–Sep</w:t>
            </w:r>
          </w:p>
        </w:tc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1</w:t>
            </w:r>
          </w:p>
        </w:tc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5</w:t>
            </w:r>
          </w:p>
        </w:tc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Flooded rivers, reduced visibility of power lines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rPr>
                <w:b/>
              </w:rPr>
              <w:t>Harvest Season (PEAK)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Oct–Dec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rPr>
                <w:b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rPr>
                <w:b/>
              </w:rPr>
              <w:t>10</w:t>
            </w:r>
          </w:p>
        </w:tc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rPr>
                <w:b/>
              </w:rPr>
              <w:t>PEAK: Illegal electric fencing to protect paddy/maize crops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rPr>
                <w:b/>
              </w:rPr>
              <w:t>TOTAL</w:t>
            </w:r>
          </w:p>
        </w:tc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—</w:t>
            </w:r>
          </w:p>
        </w:tc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rPr>
                <w:b/>
              </w:rPr>
              <w:t>13</w:t>
            </w:r>
          </w:p>
        </w:tc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rPr>
                <w:b/>
              </w:rPr>
              <w:t>21*</w:t>
            </w:r>
          </w:p>
        </w:tc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*excludes 2 unconfirmed electrocution deaths</w:t>
            </w:r>
          </w:p>
        </w:tc>
      </w:tr>
    </w:tbl>
    <w:p/>
    <w:p>
      <w:pPr>
        <w:pStyle w:val="WS_Body"/>
      </w:pPr>
      <w:r>
        <w:rPr>
          <w:i/>
        </w:rPr>
        <w:t>October is the single deadliest month (8 deaths). Oct–Dec harvest season = 42% of annual deaths.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6. Range-wise Distribution of Deaths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984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Forest Range</w:t>
            </w:r>
          </w:p>
        </w:tc>
        <w:tc>
          <w:tcPr>
            <w:tcW w:type="dxa" w:w="1134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Division</w:t>
            </w:r>
          </w:p>
        </w:tc>
        <w:tc>
          <w:tcPr>
            <w:tcW w:type="dxa" w:w="1417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Electrocution</w:t>
            </w:r>
          </w:p>
        </w:tc>
        <w:tc>
          <w:tcPr>
            <w:tcW w:type="dxa" w:w="1417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Drowning</w:t>
            </w:r>
          </w:p>
        </w:tc>
        <w:tc>
          <w:tcPr>
            <w:tcW w:type="dxa" w:w="1134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Other</w:t>
            </w:r>
          </w:p>
        </w:tc>
        <w:tc>
          <w:tcPr>
            <w:tcW w:type="dxa" w:w="1134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1417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rPr>
                <w:b/>
              </w:rPr>
              <w:t>Ghargoda</w:t>
            </w:r>
          </w:p>
        </w:tc>
        <w:tc>
          <w:tcPr>
            <w:tcW w:type="dxa" w:w="1134"/>
            <w:shd w:val="clear" w:color="auto" w:fill="FFFFFF"/>
          </w:tcPr>
          <w:p>
            <w:pPr>
              <w:pStyle w:val="WS_TD"/>
              <w:spacing w:before="40" w:after="40"/>
            </w:pPr>
            <w:r>
              <w:t>RG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8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5</w:t>
            </w:r>
          </w:p>
        </w:tc>
        <w:tc>
          <w:tcPr>
            <w:tcW w:type="dxa" w:w="1134"/>
            <w:shd w:val="clear" w:color="auto" w:fill="FFFFFF"/>
          </w:tcPr>
          <w:p>
            <w:pPr>
              <w:pStyle w:val="WS_TD"/>
              <w:spacing w:before="40" w:after="40"/>
            </w:pPr>
            <w: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pStyle w:val="WS_TD"/>
              <w:spacing w:before="40" w:after="40"/>
            </w:pPr>
            <w:r>
              <w:rPr>
                <w:b/>
              </w:rPr>
              <w:t>15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rPr>
                <w:b/>
              </w:rPr>
              <w:t>CRITICAL</w:t>
            </w:r>
          </w:p>
        </w:tc>
      </w:tr>
      <w:tr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rPr>
                <w:b/>
              </w:rPr>
              <w:t>Chhal</w:t>
            </w:r>
          </w:p>
        </w:tc>
        <w:tc>
          <w:tcPr>
            <w:tcW w:type="dxa" w:w="1134"/>
            <w:shd w:val="clear" w:color="auto" w:fill="EAF7EE"/>
          </w:tcPr>
          <w:p>
            <w:pPr>
              <w:pStyle w:val="WS_TD"/>
              <w:spacing w:before="40" w:after="40"/>
            </w:pPr>
            <w:r>
              <w:t>DH</w:t>
            </w:r>
          </w:p>
        </w:tc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7</w:t>
            </w:r>
          </w:p>
        </w:tc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5</w:t>
            </w:r>
          </w:p>
        </w:tc>
        <w:tc>
          <w:tcPr>
            <w:tcW w:type="dxa" w:w="1134"/>
            <w:shd w:val="clear" w:color="auto" w:fill="EAF7EE"/>
          </w:tcPr>
          <w:p>
            <w:pPr>
              <w:pStyle w:val="WS_TD"/>
              <w:spacing w:before="40" w:after="40"/>
            </w:pPr>
            <w:r>
              <w:t>2</w:t>
            </w:r>
          </w:p>
        </w:tc>
        <w:tc>
          <w:tcPr>
            <w:tcW w:type="dxa" w:w="1134"/>
            <w:shd w:val="clear" w:color="auto" w:fill="EAF7EE"/>
          </w:tcPr>
          <w:p>
            <w:pPr>
              <w:pStyle w:val="WS_TD"/>
              <w:spacing w:before="40" w:after="40"/>
            </w:pPr>
            <w:r>
              <w:rPr>
                <w:b/>
              </w:rPr>
              <w:t>14</w:t>
            </w:r>
          </w:p>
        </w:tc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rPr>
                <w:b/>
              </w:rPr>
              <w:t>CRITICAL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Dharamjaigarh</w:t>
            </w:r>
          </w:p>
        </w:tc>
        <w:tc>
          <w:tcPr>
            <w:tcW w:type="dxa" w:w="1134"/>
            <w:shd w:val="clear" w:color="auto" w:fill="FFFFFF"/>
          </w:tcPr>
          <w:p>
            <w:pPr>
              <w:pStyle w:val="WS_TD"/>
              <w:spacing w:before="40" w:after="40"/>
            </w:pPr>
            <w:r>
              <w:t>DH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3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pStyle w:val="WS_TD"/>
              <w:spacing w:before="40" w:after="40"/>
            </w:pPr>
            <w:r>
              <w:t>1</w:t>
            </w:r>
          </w:p>
        </w:tc>
        <w:tc>
          <w:tcPr>
            <w:tcW w:type="dxa" w:w="1134"/>
            <w:shd w:val="clear" w:color="auto" w:fill="FFFFFF"/>
          </w:tcPr>
          <w:p>
            <w:pPr>
              <w:pStyle w:val="WS_TD"/>
              <w:spacing w:before="40" w:after="40"/>
            </w:pPr>
            <w:r>
              <w:t>6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HIGH</w:t>
            </w:r>
          </w:p>
        </w:tc>
      </w:tr>
      <w:tr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Kharsia</w:t>
            </w:r>
          </w:p>
        </w:tc>
        <w:tc>
          <w:tcPr>
            <w:tcW w:type="dxa" w:w="1134"/>
            <w:shd w:val="clear" w:color="auto" w:fill="EAF7EE"/>
          </w:tcPr>
          <w:p>
            <w:pPr>
              <w:pStyle w:val="WS_TD"/>
              <w:spacing w:before="40" w:after="40"/>
            </w:pPr>
            <w:r>
              <w:t>RG</w:t>
            </w:r>
          </w:p>
        </w:tc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2</w:t>
            </w:r>
          </w:p>
        </w:tc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1</w:t>
            </w:r>
          </w:p>
        </w:tc>
        <w:tc>
          <w:tcPr>
            <w:tcW w:type="dxa" w:w="1134"/>
            <w:shd w:val="clear" w:color="auto" w:fill="EAF7EE"/>
          </w:tcPr>
          <w:p>
            <w:pPr>
              <w:pStyle w:val="WS_TD"/>
              <w:spacing w:before="40" w:after="40"/>
            </w:pPr>
            <w:r>
              <w:t>1</w:t>
            </w:r>
          </w:p>
        </w:tc>
        <w:tc>
          <w:tcPr>
            <w:tcW w:type="dxa" w:w="1134"/>
            <w:shd w:val="clear" w:color="auto" w:fill="EAF7EE"/>
          </w:tcPr>
          <w:p>
            <w:pPr>
              <w:pStyle w:val="WS_TD"/>
              <w:spacing w:before="40" w:after="40"/>
            </w:pPr>
            <w:r>
              <w:t>4</w:t>
            </w:r>
          </w:p>
        </w:tc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MODERATE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Tamnar</w:t>
            </w:r>
          </w:p>
        </w:tc>
        <w:tc>
          <w:tcPr>
            <w:tcW w:type="dxa" w:w="1134"/>
            <w:shd w:val="clear" w:color="auto" w:fill="FFFFFF"/>
          </w:tcPr>
          <w:p>
            <w:pPr>
              <w:pStyle w:val="WS_TD"/>
              <w:spacing w:before="40" w:after="40"/>
            </w:pPr>
            <w:r>
              <w:t>RG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1</w:t>
            </w:r>
          </w:p>
        </w:tc>
        <w:tc>
          <w:tcPr>
            <w:tcW w:type="dxa" w:w="1134"/>
            <w:shd w:val="clear" w:color="auto" w:fill="FFFFFF"/>
          </w:tcPr>
          <w:p>
            <w:pPr>
              <w:pStyle w:val="WS_TD"/>
              <w:spacing w:before="40" w:after="40"/>
            </w:pPr>
            <w:r>
              <w:t>1</w:t>
            </w:r>
          </w:p>
        </w:tc>
        <w:tc>
          <w:tcPr>
            <w:tcW w:type="dxa" w:w="1134"/>
            <w:shd w:val="clear" w:color="auto" w:fill="FFFFFF"/>
          </w:tcPr>
          <w:p>
            <w:pPr>
              <w:pStyle w:val="WS_TD"/>
              <w:spacing w:before="40" w:after="40"/>
            </w:pPr>
            <w:r>
              <w:t>4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MODERATE</w:t>
            </w:r>
          </w:p>
        </w:tc>
      </w:tr>
      <w:tr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Other Ranges</w:t>
            </w:r>
          </w:p>
        </w:tc>
        <w:tc>
          <w:tcPr>
            <w:tcW w:type="dxa" w:w="1134"/>
            <w:shd w:val="clear" w:color="auto" w:fill="EAF7EE"/>
          </w:tcPr>
          <w:p>
            <w:pPr>
              <w:pStyle w:val="WS_TD"/>
              <w:spacing w:before="40" w:after="40"/>
            </w:pPr>
            <w:r>
              <w:t>—</w:t>
            </w:r>
          </w:p>
        </w:tc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1</w:t>
            </w:r>
          </w:p>
        </w:tc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—</w:t>
            </w:r>
          </w:p>
        </w:tc>
        <w:tc>
          <w:tcPr>
            <w:tcW w:type="dxa" w:w="1134"/>
            <w:shd w:val="clear" w:color="auto" w:fill="EAF7EE"/>
          </w:tcPr>
          <w:p>
            <w:pPr>
              <w:pStyle w:val="WS_TD"/>
              <w:spacing w:before="40" w:after="40"/>
            </w:pPr>
            <w:r>
              <w:t>5</w:t>
            </w:r>
          </w:p>
        </w:tc>
        <w:tc>
          <w:tcPr>
            <w:tcW w:type="dxa" w:w="1134"/>
            <w:shd w:val="clear" w:color="auto" w:fill="EAF7EE"/>
          </w:tcPr>
          <w:p>
            <w:pPr>
              <w:pStyle w:val="WS_TD"/>
              <w:spacing w:before="40" w:after="40"/>
            </w:pPr>
            <w:r>
              <w:t>6</w:t>
            </w:r>
          </w:p>
        </w:tc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Monitor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rPr>
                <w:b/>
              </w:rPr>
              <w:t>TOTAL</w:t>
            </w:r>
          </w:p>
        </w:tc>
        <w:tc>
          <w:tcPr>
            <w:tcW w:type="dxa" w:w="1134"/>
            <w:shd w:val="clear" w:color="auto" w:fill="FFFFFF"/>
          </w:tcPr>
          <w:p>
            <w:pPr>
              <w:pStyle w:val="WS_TD"/>
              <w:spacing w:before="40" w:after="40"/>
            </w:pPr>
            <w:r>
              <w:t>—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rPr>
                <w:b/>
              </w:rPr>
              <w:t>23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rPr>
                <w:b/>
              </w:rPr>
              <w:t>13</w:t>
            </w:r>
          </w:p>
        </w:tc>
        <w:tc>
          <w:tcPr>
            <w:tcW w:type="dxa" w:w="1134"/>
            <w:shd w:val="clear" w:color="auto" w:fill="FFFFFF"/>
          </w:tcPr>
          <w:p>
            <w:pPr>
              <w:pStyle w:val="WS_TD"/>
              <w:spacing w:before="40" w:after="40"/>
            </w:pPr>
            <w:r>
              <w:rPr>
                <w:b/>
              </w:rPr>
              <w:t>13</w:t>
            </w:r>
          </w:p>
        </w:tc>
        <w:tc>
          <w:tcPr>
            <w:tcW w:type="dxa" w:w="1134"/>
            <w:shd w:val="clear" w:color="auto" w:fill="FFFFFF"/>
          </w:tcPr>
          <w:p>
            <w:pPr>
              <w:pStyle w:val="WS_TD"/>
              <w:spacing w:before="40" w:after="40"/>
            </w:pPr>
            <w:r>
              <w:rPr>
                <w:b/>
              </w:rPr>
              <w:t>49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—</w:t>
            </w:r>
          </w:p>
        </w:tc>
      </w:tr>
    </w:tbl>
    <w:p/>
    <w:p>
      <w:pPr>
        <w:pStyle w:val="WS_Bold"/>
      </w:pPr>
      <w:r>
        <w:t>Human conflict hotspots: Chhal (10 deaths) &gt; Borojh (9) &gt; Lailungaan (8)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7. Suspected Drowning — Post-Mortem Analysis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DBD8"/>
          </w:tcPr>
          <w:p>
            <w:pPr>
              <w:spacing w:before="80" w:after="80"/>
            </w:pPr>
            <w:r>
              <w:rPr>
                <w:b/>
                <w:color w:val="C0392B"/>
                <w:sz w:val="18"/>
              </w:rPr>
              <w:t>KEY FINDING: 13 drowning deaths (27%). 92% were calves. ARSENIC DETECTED in 2 specimens — Tamnar Range, Dec 2025 (File F.2-19/DI/NRC/2025-26/CWL)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PM Finding</w:t>
            </w:r>
          </w:p>
        </w:tc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Result in All Cases</w:t>
            </w:r>
          </w:p>
        </w:tc>
        <w:tc>
          <w:tcPr>
            <w:tcW w:type="dxa" w:w="4819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Significance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Frothy discharge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Present — ALL 13 cases</w:t>
            </w:r>
          </w:p>
        </w:tc>
        <w:tc>
          <w:tcPr>
            <w:tcW w:type="dxa" w:w="4819"/>
            <w:shd w:val="clear" w:color="auto" w:fill="FFFFFF"/>
          </w:tcPr>
          <w:p>
            <w:pPr>
              <w:pStyle w:val="WS_TD"/>
              <w:spacing w:before="40" w:after="40"/>
            </w:pPr>
            <w:r>
              <w:t>Hallmark of antemortem drowning</w:t>
            </w:r>
          </w:p>
        </w:tc>
      </w:tr>
      <w:tr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Waterlogged lungs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Present — ALL 13 cases</w:t>
            </w:r>
          </w:p>
        </w:tc>
        <w:tc>
          <w:tcPr>
            <w:tcW w:type="dxa" w:w="4819"/>
            <w:shd w:val="clear" w:color="auto" w:fill="EAF7EE"/>
          </w:tcPr>
          <w:p>
            <w:pPr>
              <w:pStyle w:val="WS_TD"/>
              <w:spacing w:before="40" w:after="40"/>
            </w:pPr>
            <w:r>
              <w:t>Lung weight 3–5× normal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Water in trachea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Present — ALL 13 cases</w:t>
            </w:r>
          </w:p>
        </w:tc>
        <w:tc>
          <w:tcPr>
            <w:tcW w:type="dxa" w:w="4819"/>
            <w:shd w:val="clear" w:color="auto" w:fill="FFFFFF"/>
          </w:tcPr>
          <w:p>
            <w:pPr>
              <w:pStyle w:val="WS_TD"/>
              <w:spacing w:before="40" w:after="40"/>
            </w:pPr>
            <w:r>
              <w:t>Rules out post-mortem artefact</w:t>
            </w:r>
          </w:p>
        </w:tc>
      </w:tr>
      <w:tr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GI water content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Large volume — ALL cases</w:t>
            </w:r>
          </w:p>
        </w:tc>
        <w:tc>
          <w:tcPr>
            <w:tcW w:type="dxa" w:w="4819"/>
            <w:shd w:val="clear" w:color="auto" w:fill="EAF7EE"/>
          </w:tcPr>
          <w:p>
            <w:pPr>
              <w:pStyle w:val="WS_TD"/>
              <w:spacing w:before="40" w:after="40"/>
            </w:pPr>
            <w:r>
              <w:t>Swallowed water while struggling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rPr>
                <w:b/>
              </w:rPr>
              <w:t>Diatom test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rPr>
                <w:b/>
              </w:rPr>
              <w:t>POSITIVE — all tested</w:t>
            </w:r>
          </w:p>
        </w:tc>
        <w:tc>
          <w:tcPr>
            <w:tcW w:type="dxa" w:w="4819"/>
            <w:shd w:val="clear" w:color="auto" w:fill="FFFFFF"/>
          </w:tcPr>
          <w:p>
            <w:pPr>
              <w:pStyle w:val="WS_TD"/>
              <w:spacing w:before="40" w:after="40"/>
            </w:pPr>
            <w:r>
              <w:t>Bone marrow dissemination = confirmed antemortem drowning</w:t>
            </w:r>
          </w:p>
        </w:tc>
      </w:tr>
      <w:tr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rPr>
                <w:b/>
              </w:rPr>
              <w:t>Arsenic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rPr>
                <w:b/>
              </w:rPr>
              <w:t>DETECTED in 2 specimens</w:t>
            </w:r>
          </w:p>
        </w:tc>
        <w:tc>
          <w:tcPr>
            <w:tcW w:type="dxa" w:w="4819"/>
            <w:shd w:val="clear" w:color="auto" w:fill="EAF7EE"/>
          </w:tcPr>
          <w:p>
            <w:pPr>
              <w:pStyle w:val="WS_TD"/>
              <w:spacing w:before="40" w:after="40"/>
            </w:pPr>
            <w:r>
              <w:t>Tamnar Range, Dec 2025 — environmental investigation initiated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EEHV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NEGATIVE all cases</w:t>
            </w:r>
          </w:p>
        </w:tc>
        <w:tc>
          <w:tcPr>
            <w:tcW w:type="dxa" w:w="4819"/>
            <w:shd w:val="clear" w:color="auto" w:fill="FFFFFF"/>
          </w:tcPr>
          <w:p>
            <w:pPr>
              <w:pStyle w:val="WS_TD"/>
              <w:spacing w:before="40" w:after="40"/>
            </w:pPr>
            <w:r>
              <w:t>Viral haemorrhagic disease ruled out</w:t>
            </w:r>
          </w:p>
        </w:tc>
      </w:tr>
      <w:tr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Nitrate-Nitrite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NEGATIVE all cases</w:t>
            </w:r>
          </w:p>
        </w:tc>
        <w:tc>
          <w:tcPr>
            <w:tcW w:type="dxa" w:w="4819"/>
            <w:shd w:val="clear" w:color="auto" w:fill="EAF7EE"/>
          </w:tcPr>
          <w:p>
            <w:pPr>
              <w:pStyle w:val="WS_TD"/>
              <w:spacing w:before="40" w:after="40"/>
            </w:pPr>
            <w:r>
              <w:t>Fertiliser contamination ruled out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Heavy metals (Pb/Hg/Cd)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NEGATIVE all cases</w:t>
            </w:r>
          </w:p>
        </w:tc>
        <w:tc>
          <w:tcPr>
            <w:tcW w:type="dxa" w:w="4819"/>
            <w:shd w:val="clear" w:color="auto" w:fill="FFFFFF"/>
          </w:tcPr>
          <w:p>
            <w:pPr>
              <w:pStyle w:val="WS_TD"/>
              <w:spacing w:before="40" w:after="40"/>
            </w:pPr>
            <w:r>
              <w:t>Industrial metals not implicated</w:t>
            </w:r>
          </w:p>
        </w:tc>
      </w:tr>
      <w:tr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Organochlorine/phosphate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NEGATIVE all cases</w:t>
            </w:r>
          </w:p>
        </w:tc>
        <w:tc>
          <w:tcPr>
            <w:tcW w:type="dxa" w:w="4819"/>
            <w:shd w:val="clear" w:color="auto" w:fill="EAF7EE"/>
          </w:tcPr>
          <w:p>
            <w:pPr>
              <w:pStyle w:val="WS_TD"/>
              <w:spacing w:before="40" w:after="40"/>
            </w:pPr>
            <w:r>
              <w:t>Pesticide poisoning excluded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HCN (Cyanide)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NEGATIVE all cases</w:t>
            </w:r>
          </w:p>
        </w:tc>
        <w:tc>
          <w:tcPr>
            <w:tcW w:type="dxa" w:w="4819"/>
            <w:shd w:val="clear" w:color="auto" w:fill="FFFFFF"/>
          </w:tcPr>
          <w:p>
            <w:pPr>
              <w:pStyle w:val="WS_TD"/>
              <w:spacing w:before="40" w:after="40"/>
            </w:pPr>
            <w:r>
              <w:t>Plant/industrial cyanide excluded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8. Case Study — Gurda Calf Drowning (01 June 2026)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7087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Date</w:t>
            </w:r>
          </w:p>
        </w:tc>
        <w:tc>
          <w:tcPr>
            <w:tcW w:type="dxa" w:w="7087"/>
            <w:shd w:val="clear" w:color="auto" w:fill="FFFFFF"/>
          </w:tcPr>
          <w:p>
            <w:pPr>
              <w:pStyle w:val="WS_TD"/>
              <w:spacing w:before="40" w:after="40"/>
            </w:pPr>
            <w:r>
              <w:t>01 June 2026</w:t>
            </w:r>
          </w:p>
        </w:tc>
      </w:tr>
      <w:tr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Location</w:t>
            </w:r>
          </w:p>
        </w:tc>
        <w:tc>
          <w:tcPr>
            <w:tcW w:type="dxa" w:w="7087"/>
            <w:shd w:val="clear" w:color="auto" w:fill="EAF7EE"/>
          </w:tcPr>
          <w:p>
            <w:pPr>
              <w:pStyle w:val="WS_TD"/>
              <w:spacing w:before="40" w:after="40"/>
            </w:pPr>
            <w:r>
              <w:t>Gurda River sandbank, Kharsia Range, Raigarh Van Mandal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GPS</w:t>
            </w:r>
          </w:p>
        </w:tc>
        <w:tc>
          <w:tcPr>
            <w:tcW w:type="dxa" w:w="7087"/>
            <w:shd w:val="clear" w:color="auto" w:fill="FFFFFF"/>
          </w:tcPr>
          <w:p>
            <w:pPr>
              <w:pStyle w:val="WS_TD"/>
              <w:spacing w:before="40" w:after="40"/>
            </w:pPr>
            <w:r>
              <w:t>22.0439°N, 83.1313°E</w:t>
            </w:r>
          </w:p>
        </w:tc>
      </w:tr>
      <w:tr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Victim</w:t>
            </w:r>
          </w:p>
        </w:tc>
        <w:tc>
          <w:tcPr>
            <w:tcW w:type="dxa" w:w="7087"/>
            <w:shd w:val="clear" w:color="auto" w:fill="EAF7EE"/>
          </w:tcPr>
          <w:p>
            <w:pPr>
              <w:pStyle w:val="WS_TD"/>
              <w:spacing w:before="40" w:after="40"/>
            </w:pPr>
            <w:r>
              <w:t>Male calf, estimated age 12–18 months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Discovery</w:t>
            </w:r>
          </w:p>
        </w:tc>
        <w:tc>
          <w:tcPr>
            <w:tcW w:type="dxa" w:w="7087"/>
            <w:shd w:val="clear" w:color="auto" w:fill="FFFFFF"/>
          </w:tcPr>
          <w:p>
            <w:pPr>
              <w:pStyle w:val="WS_TD"/>
              <w:spacing w:before="40" w:after="40"/>
            </w:pPr>
            <w:r>
              <w:t>Calf found separated from herd on exposed sandbank after overnight flooding</w:t>
            </w:r>
          </w:p>
        </w:tc>
      </w:tr>
      <w:tr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PM Findings</w:t>
            </w:r>
          </w:p>
        </w:tc>
        <w:tc>
          <w:tcPr>
            <w:tcW w:type="dxa" w:w="7087"/>
            <w:shd w:val="clear" w:color="auto" w:fill="EAF7EE"/>
          </w:tcPr>
          <w:p>
            <w:pPr>
              <w:pStyle w:val="WS_TD"/>
              <w:spacing w:before="40" w:after="40"/>
            </w:pPr>
            <w:r>
              <w:t>Waterlogged lungs, frothy tracheal discharge, water in stomach (large volume), no external trauma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Diatom Test</w:t>
            </w:r>
          </w:p>
        </w:tc>
        <w:tc>
          <w:tcPr>
            <w:tcW w:type="dxa" w:w="7087"/>
            <w:shd w:val="clear" w:color="auto" w:fill="FFFFFF"/>
          </w:tcPr>
          <w:p>
            <w:pPr>
              <w:pStyle w:val="WS_TD"/>
              <w:spacing w:before="40" w:after="40"/>
            </w:pPr>
            <w:r>
              <w:t>POSITIVE — Naviculaceae spp. in lung and bone marrow</w:t>
            </w:r>
          </w:p>
        </w:tc>
      </w:tr>
      <w:tr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rPr>
                <w:b/>
              </w:rPr>
              <w:t>Cause of Death</w:t>
            </w:r>
          </w:p>
        </w:tc>
        <w:tc>
          <w:tcPr>
            <w:tcW w:type="dxa" w:w="7087"/>
            <w:shd w:val="clear" w:color="auto" w:fill="EAF7EE"/>
          </w:tcPr>
          <w:p>
            <w:pPr>
              <w:pStyle w:val="WS_TD"/>
              <w:spacing w:before="40" w:after="40"/>
            </w:pPr>
            <w:r>
              <w:rPr>
                <w:b/>
              </w:rPr>
              <w:t>Confirmed drowning (asphyxia due to water inhalation)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Follow-up</w:t>
            </w:r>
          </w:p>
        </w:tc>
        <w:tc>
          <w:tcPr>
            <w:tcW w:type="dxa" w:w="7087"/>
            <w:shd w:val="clear" w:color="auto" w:fill="FFFFFF"/>
          </w:tcPr>
          <w:p>
            <w:pPr>
              <w:pStyle w:val="WS_TD"/>
              <w:spacing w:before="40" w:after="40"/>
            </w:pPr>
            <w:r>
              <w:t>Water sample collected for arsenic analysis; site flagged for earthen ramp installation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9. Key Recommendations &amp; Priority Action Plan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5386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Priority Action</w:t>
            </w:r>
          </w:p>
        </w:tc>
        <w:tc>
          <w:tcPr>
            <w:tcW w:type="dxa" w:w="1531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Agency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pStyle w:val="WS_TD"/>
              <w:spacing w:before="40" w:after="40"/>
            </w:pPr>
            <w:r>
              <w:t>1</w:t>
            </w:r>
          </w:p>
        </w:tc>
        <w:tc>
          <w:tcPr>
            <w:tcW w:type="dxa" w:w="5386"/>
            <w:shd w:val="clear" w:color="auto" w:fill="FFFFFF"/>
          </w:tcPr>
          <w:p>
            <w:pPr>
              <w:pStyle w:val="WS_TD"/>
              <w:spacing w:before="40" w:after="40"/>
            </w:pPr>
            <w:r>
              <w:t>Environmental Water Sampling: Rabo &amp; Panikshet dams + Tamnar Range water bodies for arsenic/heavy metals</w:t>
            </w:r>
          </w:p>
        </w:tc>
        <w:tc>
          <w:tcPr>
            <w:tcW w:type="dxa" w:w="1531"/>
            <w:shd w:val="clear" w:color="auto" w:fill="FFFFFF"/>
          </w:tcPr>
          <w:p>
            <w:pPr>
              <w:pStyle w:val="WS_TD"/>
              <w:spacing w:before="40" w:after="40"/>
            </w:pPr>
            <w:r>
              <w:t>Immediate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CG Forest Dept + ICAR-IVRI</w:t>
            </w:r>
          </w:p>
        </w:tc>
      </w:tr>
      <w:tr>
        <w:tc>
          <w:tcPr>
            <w:tcW w:type="dxa" w:w="454"/>
            <w:shd w:val="clear" w:color="auto" w:fill="EAF7EE"/>
          </w:tcPr>
          <w:p>
            <w:pPr>
              <w:pStyle w:val="WS_TD"/>
              <w:spacing w:before="40" w:after="40"/>
            </w:pPr>
            <w:r>
              <w:t>2</w:t>
            </w:r>
          </w:p>
        </w:tc>
        <w:tc>
          <w:tcPr>
            <w:tcW w:type="dxa" w:w="5386"/>
            <w:shd w:val="clear" w:color="auto" w:fill="EAF7EE"/>
          </w:tcPr>
          <w:p>
            <w:pPr>
              <w:pStyle w:val="WS_TD"/>
              <w:spacing w:before="40" w:after="40"/>
            </w:pPr>
            <w:r>
              <w:t>Drowning Prevention Infrastructure: Earthen ramps at all drowning hotspots (Ghargoda &amp; Chhal priority)</w:t>
            </w:r>
          </w:p>
        </w:tc>
        <w:tc>
          <w:tcPr>
            <w:tcW w:type="dxa" w:w="1531"/>
            <w:shd w:val="clear" w:color="auto" w:fill="EAF7EE"/>
          </w:tcPr>
          <w:p>
            <w:pPr>
              <w:pStyle w:val="WS_TD"/>
              <w:spacing w:before="40" w:after="40"/>
            </w:pPr>
            <w:r>
              <w:t>1–3 months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CG Forest Dept + PWD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pStyle w:val="WS_TD"/>
              <w:spacing w:before="40" w:after="40"/>
            </w:pPr>
            <w:r>
              <w:t>3</w:t>
            </w:r>
          </w:p>
        </w:tc>
        <w:tc>
          <w:tcPr>
            <w:tcW w:type="dxa" w:w="5386"/>
            <w:shd w:val="clear" w:color="auto" w:fill="FFFFFF"/>
          </w:tcPr>
          <w:p>
            <w:pPr>
              <w:pStyle w:val="WS_TD"/>
              <w:spacing w:before="40" w:after="40"/>
            </w:pPr>
            <w:r>
              <w:t>Power-Line Audit: Complete audit of illegal electric fencing and stray HV lines in all elephant corridors</w:t>
            </w:r>
          </w:p>
        </w:tc>
        <w:tc>
          <w:tcPr>
            <w:tcW w:type="dxa" w:w="1531"/>
            <w:shd w:val="clear" w:color="auto" w:fill="FFFFFF"/>
          </w:tcPr>
          <w:p>
            <w:pPr>
              <w:pStyle w:val="WS_TD"/>
              <w:spacing w:before="40" w:after="40"/>
            </w:pPr>
            <w:r>
              <w:t>1–6 months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CG Forest Dept + CSPDCL</w:t>
            </w:r>
          </w:p>
        </w:tc>
      </w:tr>
      <w:tr>
        <w:tc>
          <w:tcPr>
            <w:tcW w:type="dxa" w:w="454"/>
            <w:shd w:val="clear" w:color="auto" w:fill="EAF7EE"/>
          </w:tcPr>
          <w:p>
            <w:pPr>
              <w:pStyle w:val="WS_TD"/>
              <w:spacing w:before="40" w:after="40"/>
            </w:pPr>
            <w:r>
              <w:t>4</w:t>
            </w:r>
          </w:p>
        </w:tc>
        <w:tc>
          <w:tcPr>
            <w:tcW w:type="dxa" w:w="5386"/>
            <w:shd w:val="clear" w:color="auto" w:fill="EAF7EE"/>
          </w:tcPr>
          <w:p>
            <w:pPr>
              <w:pStyle w:val="WS_TD"/>
              <w:spacing w:before="40" w:after="40"/>
            </w:pPr>
            <w:r>
              <w:t>Oct–Dec Enforcement: Anti-fencing squads with weekly intelligence during harvest season</w:t>
            </w:r>
          </w:p>
        </w:tc>
        <w:tc>
          <w:tcPr>
            <w:tcW w:type="dxa" w:w="1531"/>
            <w:shd w:val="clear" w:color="auto" w:fill="EAF7EE"/>
          </w:tcPr>
          <w:p>
            <w:pPr>
              <w:pStyle w:val="WS_TD"/>
              <w:spacing w:before="40" w:after="40"/>
            </w:pPr>
            <w:r>
              <w:t>Seasonal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Forest Dept + Police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pStyle w:val="WS_TD"/>
              <w:spacing w:before="40" w:after="40"/>
            </w:pPr>
            <w:r>
              <w:t>5</w:t>
            </w:r>
          </w:p>
        </w:tc>
        <w:tc>
          <w:tcPr>
            <w:tcW w:type="dxa" w:w="5386"/>
            <w:shd w:val="clear" w:color="auto" w:fill="FFFFFF"/>
          </w:tcPr>
          <w:p>
            <w:pPr>
              <w:pStyle w:val="WS_TD"/>
              <w:spacing w:before="40" w:after="40"/>
            </w:pPr>
            <w:r>
              <w:t>Jan–May Calf Monitoring: Intensive calf surveillance in dry season when drowning risk is highest</w:t>
            </w:r>
          </w:p>
        </w:tc>
        <w:tc>
          <w:tcPr>
            <w:tcW w:type="dxa" w:w="1531"/>
            <w:shd w:val="clear" w:color="auto" w:fill="FFFFFF"/>
          </w:tcPr>
          <w:p>
            <w:pPr>
              <w:pStyle w:val="WS_TD"/>
              <w:spacing w:before="40" w:after="40"/>
            </w:pPr>
            <w:r>
              <w:t>Seasonal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WII + CG Forest Dept</w:t>
            </w:r>
          </w:p>
        </w:tc>
      </w:tr>
      <w:tr>
        <w:tc>
          <w:tcPr>
            <w:tcW w:type="dxa" w:w="454"/>
            <w:shd w:val="clear" w:color="auto" w:fill="EAF7EE"/>
          </w:tcPr>
          <w:p>
            <w:pPr>
              <w:pStyle w:val="WS_TD"/>
              <w:spacing w:before="40" w:after="40"/>
            </w:pPr>
            <w:r>
              <w:t>6</w:t>
            </w:r>
          </w:p>
        </w:tc>
        <w:tc>
          <w:tcPr>
            <w:tcW w:type="dxa" w:w="5386"/>
            <w:shd w:val="clear" w:color="auto" w:fill="EAF7EE"/>
          </w:tcPr>
          <w:p>
            <w:pPr>
              <w:pStyle w:val="WS_TD"/>
              <w:spacing w:before="40" w:after="40"/>
            </w:pPr>
            <w:r>
              <w:t>Mandatory PM within 24 hrs: SOP mandating complete PM + sample collection within 24 hrs of death, with digital reporting</w:t>
            </w:r>
          </w:p>
        </w:tc>
        <w:tc>
          <w:tcPr>
            <w:tcW w:type="dxa" w:w="1531"/>
            <w:shd w:val="clear" w:color="auto" w:fill="EAF7EE"/>
          </w:tcPr>
          <w:p>
            <w:pPr>
              <w:pStyle w:val="WS_TD"/>
              <w:spacing w:before="40" w:after="40"/>
            </w:pPr>
            <w:r>
              <w:t>Policy — immediate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PCCF (WL), CG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pStyle w:val="WS_TD"/>
              <w:spacing w:before="40" w:after="40"/>
            </w:pPr>
            <w:r>
              <w:t>7</w:t>
            </w:r>
          </w:p>
        </w:tc>
        <w:tc>
          <w:tcPr>
            <w:tcW w:type="dxa" w:w="5386"/>
            <w:shd w:val="clear" w:color="auto" w:fill="FFFFFF"/>
          </w:tcPr>
          <w:p>
            <w:pPr>
              <w:pStyle w:val="WS_TD"/>
              <w:spacing w:before="40" w:after="40"/>
            </w:pPr>
            <w:r>
              <w:t>Annual EEHV Surveillance: Annual PCR + serological surveillance across all herds in DH and RG Divisions</w:t>
            </w:r>
          </w:p>
        </w:tc>
        <w:tc>
          <w:tcPr>
            <w:tcW w:type="dxa" w:w="1531"/>
            <w:shd w:val="clear" w:color="auto" w:fill="FFFFFF"/>
          </w:tcPr>
          <w:p>
            <w:pPr>
              <w:pStyle w:val="WS_TD"/>
              <w:spacing w:before="40" w:after="40"/>
            </w:pPr>
            <w:r>
              <w:t>Annual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ICAR-IVRI + WII</w:t>
            </w:r>
          </w:p>
        </w:tc>
      </w:tr>
      <w:tr>
        <w:tc>
          <w:tcPr>
            <w:tcW w:type="dxa" w:w="454"/>
            <w:shd w:val="clear" w:color="auto" w:fill="EAF7EE"/>
          </w:tcPr>
          <w:p>
            <w:pPr>
              <w:pStyle w:val="WS_TD"/>
              <w:spacing w:before="40" w:after="40"/>
            </w:pPr>
            <w:r>
              <w:t>8</w:t>
            </w:r>
          </w:p>
        </w:tc>
        <w:tc>
          <w:tcPr>
            <w:tcW w:type="dxa" w:w="5386"/>
            <w:shd w:val="clear" w:color="auto" w:fill="EAF7EE"/>
          </w:tcPr>
          <w:p>
            <w:pPr>
              <w:pStyle w:val="WS_TD"/>
              <w:spacing w:before="40" w:after="40"/>
            </w:pPr>
            <w:r>
              <w:t>Quarterly Review Meetings: Inter-departmental review of mortality data with Forest, Police, Revenue, Power Depts</w:t>
            </w:r>
          </w:p>
        </w:tc>
        <w:tc>
          <w:tcPr>
            <w:tcW w:type="dxa" w:w="1531"/>
            <w:shd w:val="clear" w:color="auto" w:fill="EAF7EE"/>
          </w:tcPr>
          <w:p>
            <w:pPr>
              <w:pStyle w:val="WS_TD"/>
              <w:spacing w:before="40" w:after="40"/>
            </w:pPr>
            <w:r>
              <w:t>Quarterly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PCCF (WL), CG — All Depts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Summary Statistics at a Glance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551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Study Period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2021–2026 (5 years)</w:t>
            </w:r>
          </w:p>
        </w:tc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Total Elephant Deaths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49</w:t>
            </w:r>
          </w:p>
        </w:tc>
      </w:tr>
      <w:tr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DH Division Deaths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27 (55%)</w:t>
            </w:r>
          </w:p>
        </w:tc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RG Division Deaths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22 (45%)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Electrocution Deaths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23 (47%)</w:t>
            </w:r>
          </w:p>
        </w:tc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Drowning Deaths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13 (27%)</w:t>
            </w:r>
          </w:p>
        </w:tc>
      </w:tr>
      <w:tr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Calf Deaths (0-2 yr)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23 of 46 (50%)</w:t>
            </w:r>
          </w:p>
        </w:tc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Male Deaths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23 of 45 (51%)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Peak Death Month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October (8 deaths)</w:t>
            </w:r>
          </w:p>
        </w:tc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Peak Year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2022-23 &amp; 2025-26 (12 each)</w:t>
            </w:r>
          </w:p>
        </w:tc>
      </w:tr>
      <w:tr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Drowning: Calves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12/13 = 92%</w:t>
            </w:r>
          </w:p>
        </w:tc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Arsenic Positives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2 specimens (Tamnar, Dec 2025)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Human Deaths (HEC)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45 (DH: 36 | RG: 9)</w:t>
            </w:r>
          </w:p>
        </w:tc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Pop. Growth 2001-26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24 → 451 (CAGR ≈ 13%)</w:t>
            </w:r>
          </w:p>
        </w:tc>
      </w:tr>
    </w:tbl>
    <w:p/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S_Title">
    <w:name w:val="WS_Title"/>
    <w:basedOn w:val="Normal"/>
    <w:pPr>
      <w:spacing w:before="0" w:after="80"/>
      <w:jc w:val="center"/>
    </w:pPr>
    <w:rPr>
      <w:rFonts w:ascii="Calibri" w:hAnsi="Calibri"/>
      <w:b/>
      <w:i w:val="0"/>
      <w:color w:val="FFFFFF"/>
      <w:sz w:val="36"/>
    </w:rPr>
  </w:style>
  <w:style w:type="paragraph" w:customStyle="1" w:styleId="WS_Sub">
    <w:name w:val="WS_Sub"/>
    <w:basedOn w:val="Normal"/>
    <w:pPr>
      <w:spacing w:before="0" w:after="40"/>
      <w:jc w:val="center"/>
    </w:pPr>
    <w:rPr>
      <w:rFonts w:ascii="Calibri" w:hAnsi="Calibri"/>
      <w:b w:val="0"/>
      <w:i/>
      <w:color w:val="D8F3DC"/>
      <w:sz w:val="20"/>
    </w:rPr>
  </w:style>
  <w:style w:type="paragraph" w:customStyle="1" w:styleId="WS_H1">
    <w:name w:val="WS_H1"/>
    <w:basedOn w:val="Normal"/>
    <w:pPr>
      <w:spacing w:before="160" w:after="40"/>
    </w:pPr>
    <w:rPr>
      <w:rFonts w:ascii="Calibri" w:hAnsi="Calibri"/>
      <w:b/>
      <w:i w:val="0"/>
      <w:color w:val="FFFFFF"/>
      <w:sz w:val="22"/>
    </w:rPr>
  </w:style>
  <w:style w:type="paragraph" w:customStyle="1" w:styleId="WS_H2">
    <w:name w:val="WS_H2"/>
    <w:basedOn w:val="Normal"/>
    <w:pPr>
      <w:spacing w:before="120" w:after="40"/>
    </w:pPr>
    <w:rPr>
      <w:rFonts w:ascii="Calibri" w:hAnsi="Calibri"/>
      <w:b/>
      <w:i w:val="0"/>
      <w:color w:val="1B4332"/>
      <w:sz w:val="20"/>
    </w:rPr>
  </w:style>
  <w:style w:type="paragraph" w:customStyle="1" w:styleId="WS_Body">
    <w:name w:val="WS_Body"/>
    <w:basedOn w:val="Normal"/>
    <w:pPr>
      <w:spacing w:before="0" w:after="80"/>
    </w:pPr>
    <w:rPr>
      <w:rFonts w:ascii="Calibri" w:hAnsi="Calibri"/>
      <w:b w:val="0"/>
      <w:i w:val="0"/>
      <w:color w:val="1A1A1A"/>
      <w:sz w:val="19"/>
    </w:rPr>
  </w:style>
  <w:style w:type="paragraph" w:customStyle="1" w:styleId="WS_Bold">
    <w:name w:val="WS_Bold"/>
    <w:basedOn w:val="Normal"/>
    <w:pPr>
      <w:spacing w:before="0" w:after="80"/>
    </w:pPr>
    <w:rPr>
      <w:rFonts w:ascii="Calibri" w:hAnsi="Calibri"/>
      <w:b/>
      <w:i w:val="0"/>
      <w:color w:val="1A1A1A"/>
      <w:sz w:val="19"/>
    </w:rPr>
  </w:style>
  <w:style w:type="paragraph" w:customStyle="1" w:styleId="WS_Bullet">
    <w:name w:val="WS_Bullet"/>
    <w:basedOn w:val="Normal"/>
    <w:pPr>
      <w:spacing w:before="0" w:after="40"/>
    </w:pPr>
    <w:rPr>
      <w:rFonts w:ascii="Calibri" w:hAnsi="Calibri"/>
      <w:b w:val="0"/>
      <w:i w:val="0"/>
      <w:color w:val="1A1A1A"/>
      <w:sz w:val="18"/>
    </w:rPr>
  </w:style>
  <w:style w:type="paragraph" w:customStyle="1" w:styleId="WS_Caption">
    <w:name w:val="WS_Caption"/>
    <w:basedOn w:val="Normal"/>
    <w:pPr>
      <w:spacing w:before="0" w:after="80"/>
      <w:jc w:val="center"/>
    </w:pPr>
    <w:rPr>
      <w:rFonts w:ascii="Calibri" w:hAnsi="Calibri"/>
      <w:b w:val="0"/>
      <w:i/>
      <w:color w:val="555555"/>
      <w:sz w:val="16"/>
    </w:rPr>
  </w:style>
  <w:style w:type="paragraph" w:customStyle="1" w:styleId="WS_TH">
    <w:name w:val="WS_TH"/>
    <w:basedOn w:val="Normal"/>
    <w:pPr>
      <w:spacing w:before="0" w:after="0"/>
      <w:jc w:val="center"/>
    </w:pPr>
    <w:rPr>
      <w:rFonts w:ascii="Calibri" w:hAnsi="Calibri"/>
      <w:b/>
      <w:i w:val="0"/>
      <w:color w:val="FFFFFF"/>
      <w:sz w:val="17"/>
    </w:rPr>
  </w:style>
  <w:style w:type="paragraph" w:customStyle="1" w:styleId="WS_TD">
    <w:name w:val="WS_TD"/>
    <w:basedOn w:val="Normal"/>
    <w:pPr>
      <w:spacing w:before="0" w:after="0"/>
    </w:pPr>
    <w:rPr>
      <w:rFonts w:ascii="Calibri" w:hAnsi="Calibri"/>
      <w:b w:val="0"/>
      <w:i w:val="0"/>
      <w:color w:val="1A1A1A"/>
      <w:sz w:val="17"/>
    </w:rPr>
  </w:style>
  <w:style w:type="paragraph" w:customStyle="1" w:styleId="WS_TDC">
    <w:name w:val="WS_TDC"/>
    <w:basedOn w:val="Normal"/>
    <w:pPr>
      <w:spacing w:before="0" w:after="0"/>
      <w:jc w:val="center"/>
    </w:pPr>
    <w:rPr>
      <w:rFonts w:ascii="Calibri" w:hAnsi="Calibri"/>
      <w:b w:val="0"/>
      <w:i w:val="0"/>
      <w:color w:val="1A1A1A"/>
      <w:sz w:val="17"/>
    </w:rPr>
  </w:style>
  <w:style w:type="paragraph" w:customStyle="1" w:styleId="WS_TDB">
    <w:name w:val="WS_TDB"/>
    <w:basedOn w:val="Normal"/>
    <w:pPr>
      <w:spacing w:before="0" w:after="0"/>
    </w:pPr>
    <w:rPr>
      <w:rFonts w:ascii="Calibri" w:hAnsi="Calibri"/>
      <w:b/>
      <w:i w:val="0"/>
      <w:color w:val="1B4332"/>
      <w:sz w:val="17"/>
    </w:rPr>
  </w:style>
  <w:style w:type="paragraph" w:customStyle="1" w:styleId="WS_Note">
    <w:name w:val="WS_Note"/>
    <w:basedOn w:val="Normal"/>
    <w:pPr>
      <w:spacing w:before="0" w:after="60"/>
    </w:pPr>
    <w:rPr>
      <w:rFonts w:ascii="Calibri" w:hAnsi="Calibri"/>
      <w:b w:val="0"/>
      <w:i/>
      <w:color w:val="C0392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 — Elephant Mortality Analysis in Chhattisgarh (2021–2026)</dc:title>
  <dc:subject/>
  <dc:creator>Chhattisgarh Forest Department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