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ukohqaf37hg" w:id="0"/>
      <w:bookmarkEnd w:id="0"/>
      <w:r w:rsidDel="00000000" w:rsidR="00000000" w:rsidRPr="00000000">
        <w:rPr>
          <w:b w:val="1"/>
          <w:sz w:val="46"/>
          <w:szCs w:val="46"/>
          <w:rtl w:val="0"/>
        </w:rPr>
        <w:t xml:space="preserve">Global Impact of Inflation Post-COVID-19</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lj3cgi5ludu"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COVID-19 pandemic disrupted the global economy in ways unseen in modern history. With economies shutting down, supply chains breaking, and governments injecting unprecedented fiscal stimulus, inflation became a major concern in the aftermath. As countries began to recover, the inflationary pressures that followed had profound impacts on consumers, businesses, and policymakers across the globe.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bu2qt5zhwpp" w:id="2"/>
      <w:bookmarkEnd w:id="2"/>
      <w:r w:rsidDel="00000000" w:rsidR="00000000" w:rsidRPr="00000000">
        <w:rPr>
          <w:b w:val="1"/>
          <w:sz w:val="34"/>
          <w:szCs w:val="34"/>
          <w:rtl w:val="0"/>
        </w:rPr>
        <w:t xml:space="preserve">#Understanding Inflation and Its Causes Post-Pandemic</w:t>
      </w:r>
    </w:p>
    <w:p w:rsidR="00000000" w:rsidDel="00000000" w:rsidP="00000000" w:rsidRDefault="00000000" w:rsidRPr="00000000" w14:paraId="00000005">
      <w:pPr>
        <w:spacing w:after="240" w:before="240" w:lineRule="auto"/>
        <w:rPr/>
      </w:pPr>
      <w:r w:rsidDel="00000000" w:rsidR="00000000" w:rsidRPr="00000000">
        <w:rPr>
          <w:rtl w:val="0"/>
        </w:rPr>
        <w:t xml:space="preserve">#Inflation refers to the general increase in prices and the fall in the purchasing value of money. After COVID-19, inflation was driven by a unique mix of demand recovery, supply chain bottlenecks, labor shortages, and expansive monetary policies.</w:t>
      </w:r>
    </w:p>
    <w:p w:rsidR="00000000" w:rsidDel="00000000" w:rsidP="00000000" w:rsidRDefault="00000000" w:rsidRPr="00000000" w14:paraId="00000006">
      <w:pPr>
        <w:spacing w:after="240" w:before="240" w:lineRule="auto"/>
        <w:rPr/>
      </w:pPr>
      <w:r w:rsidDel="00000000" w:rsidR="00000000" w:rsidRPr="00000000">
        <w:rPr>
          <w:rtl w:val="0"/>
        </w:rPr>
        <w:t xml:space="preserve">#When economies reopened, consumer demand surged. However, production and supply chains could not match this rapid increase, creating a classic demand-supply mismatch. Adding to this were labor shortages and higher transportation costs, further driving prices up.</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rthea5s7iob" w:id="3"/>
      <w:bookmarkEnd w:id="3"/>
      <w:r w:rsidDel="00000000" w:rsidR="00000000" w:rsidRPr="00000000">
        <w:rPr>
          <w:b w:val="1"/>
          <w:sz w:val="34"/>
          <w:szCs w:val="34"/>
          <w:rtl w:val="0"/>
        </w:rPr>
        <w:t xml:space="preserve">#Global Trends in Inflation Post-COVID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e3jo3lltghy" w:id="4"/>
      <w:bookmarkEnd w:id="4"/>
      <w:r w:rsidDel="00000000" w:rsidR="00000000" w:rsidRPr="00000000">
        <w:rPr>
          <w:b w:val="1"/>
          <w:color w:val="000000"/>
          <w:sz w:val="26"/>
          <w:szCs w:val="26"/>
          <w:rtl w:val="0"/>
        </w:rPr>
        <w:t xml:space="preserve">#United States</w:t>
      </w:r>
    </w:p>
    <w:p w:rsidR="00000000" w:rsidDel="00000000" w:rsidP="00000000" w:rsidRDefault="00000000" w:rsidRPr="00000000" w14:paraId="00000009">
      <w:pPr>
        <w:spacing w:after="240" w:before="240" w:lineRule="auto"/>
        <w:rPr/>
      </w:pPr>
      <w:r w:rsidDel="00000000" w:rsidR="00000000" w:rsidRPr="00000000">
        <w:rPr>
          <w:rtl w:val="0"/>
        </w:rPr>
        <w:t xml:space="preserve">#The U.S. witnessed its highest inflation levels in over four decades during 2021–2022. Consumer prices spiked due to stimulus checks, low interest rates, and supply issues. The Federal Reserve responded by raising interest rates aggressively to tame inflation, triggering fears of a potential recession.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87lwtv7gtj2" w:id="5"/>
      <w:bookmarkEnd w:id="5"/>
      <w:r w:rsidDel="00000000" w:rsidR="00000000" w:rsidRPr="00000000">
        <w:rPr>
          <w:b w:val="1"/>
          <w:color w:val="000000"/>
          <w:sz w:val="26"/>
          <w:szCs w:val="26"/>
          <w:rtl w:val="0"/>
        </w:rPr>
        <w:t xml:space="preserve">#European Union</w:t>
      </w:r>
    </w:p>
    <w:p w:rsidR="00000000" w:rsidDel="00000000" w:rsidP="00000000" w:rsidRDefault="00000000" w:rsidRPr="00000000" w14:paraId="0000000B">
      <w:pPr>
        <w:spacing w:after="240" w:before="240" w:lineRule="auto"/>
        <w:rPr/>
      </w:pPr>
      <w:r w:rsidDel="00000000" w:rsidR="00000000" w:rsidRPr="00000000">
        <w:rPr>
          <w:rtl w:val="0"/>
        </w:rPr>
        <w:t xml:space="preserve">#In the EU, inflation soared due to energy price hikes, especially after the Russia-Ukraine war, which exacerbated existing supply issues. The European Central Bank, traditionally conservative about rate hikes, eventually raised rates to counter the surging inflation.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xzm923fgwu4" w:id="6"/>
      <w:bookmarkEnd w:id="6"/>
      <w:r w:rsidDel="00000000" w:rsidR="00000000" w:rsidRPr="00000000">
        <w:rPr>
          <w:b w:val="1"/>
          <w:color w:val="000000"/>
          <w:sz w:val="26"/>
          <w:szCs w:val="26"/>
          <w:rtl w:val="0"/>
        </w:rPr>
        <w:t xml:space="preserve">#Developing Nations</w:t>
      </w:r>
    </w:p>
    <w:p w:rsidR="00000000" w:rsidDel="00000000" w:rsidP="00000000" w:rsidRDefault="00000000" w:rsidRPr="00000000" w14:paraId="0000000D">
      <w:pPr>
        <w:spacing w:after="240" w:before="240" w:lineRule="auto"/>
        <w:rPr/>
      </w:pPr>
      <w:r w:rsidDel="00000000" w:rsidR="00000000" w:rsidRPr="00000000">
        <w:rPr>
          <w:rtl w:val="0"/>
        </w:rPr>
        <w:t xml:space="preserve">#Emerging economies faced a dual blow—imported inflation due to weak currencies and higher global commodity prices, especially food and fuel. Nations like Turkey, Argentina, and Sri Lanka witnessed hyperinflationary trends, leading to political and social unrest.</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k2d00hbqmqh2" w:id="7"/>
      <w:bookmarkEnd w:id="7"/>
      <w:r w:rsidDel="00000000" w:rsidR="00000000" w:rsidRPr="00000000">
        <w:rPr>
          <w:b w:val="1"/>
          <w:sz w:val="34"/>
          <w:szCs w:val="34"/>
          <w:rtl w:val="0"/>
        </w:rPr>
        <w:t xml:space="preserve">#Sector-Wise Impact of Inflation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8uoncsazo5k" w:id="8"/>
      <w:bookmarkEnd w:id="8"/>
      <w:r w:rsidDel="00000000" w:rsidR="00000000" w:rsidRPr="00000000">
        <w:rPr>
          <w:b w:val="1"/>
          <w:color w:val="000000"/>
          <w:sz w:val="26"/>
          <w:szCs w:val="26"/>
          <w:rtl w:val="0"/>
        </w:rPr>
        <w:t xml:space="preserve">#Food and Agriculture</w:t>
      </w:r>
    </w:p>
    <w:p w:rsidR="00000000" w:rsidDel="00000000" w:rsidP="00000000" w:rsidRDefault="00000000" w:rsidRPr="00000000" w14:paraId="00000010">
      <w:pPr>
        <w:spacing w:after="240" w:before="240" w:lineRule="auto"/>
        <w:rPr/>
      </w:pPr>
      <w:r w:rsidDel="00000000" w:rsidR="00000000" w:rsidRPr="00000000">
        <w:rPr>
          <w:rtl w:val="0"/>
        </w:rPr>
        <w:t xml:space="preserve">#Food prices increased globally due to disrupted supply chains, labor shortages in agriculture, and climate-related events. Developing countries, where food accounts for a larger share of household expenses, were hit hardest.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ssgr9vpyorq" w:id="9"/>
      <w:bookmarkEnd w:id="9"/>
      <w:r w:rsidDel="00000000" w:rsidR="00000000" w:rsidRPr="00000000">
        <w:rPr>
          <w:b w:val="1"/>
          <w:color w:val="000000"/>
          <w:sz w:val="26"/>
          <w:szCs w:val="26"/>
          <w:rtl w:val="0"/>
        </w:rPr>
        <w:t xml:space="preserve">#Energy Sector</w:t>
      </w:r>
    </w:p>
    <w:p w:rsidR="00000000" w:rsidDel="00000000" w:rsidP="00000000" w:rsidRDefault="00000000" w:rsidRPr="00000000" w14:paraId="00000012">
      <w:pPr>
        <w:spacing w:after="240" w:before="240" w:lineRule="auto"/>
        <w:rPr/>
      </w:pPr>
      <w:r w:rsidDel="00000000" w:rsidR="00000000" w:rsidRPr="00000000">
        <w:rPr>
          <w:rtl w:val="0"/>
        </w:rPr>
        <w:t xml:space="preserve">#The energy sector experienced extreme volatility. Oil prices plunged in early 2020 but skyrocketed in 2021–2022 as demand rebounded and supply remained tight. Natural gas prices also surged, impacting electricity costs and industrial production.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so7kzqjy991" w:id="10"/>
      <w:bookmarkEnd w:id="10"/>
      <w:r w:rsidDel="00000000" w:rsidR="00000000" w:rsidRPr="00000000">
        <w:rPr>
          <w:b w:val="1"/>
          <w:color w:val="000000"/>
          <w:sz w:val="26"/>
          <w:szCs w:val="26"/>
          <w:rtl w:val="0"/>
        </w:rPr>
        <w:t xml:space="preserve">#Real Estate and Housing</w:t>
      </w:r>
    </w:p>
    <w:p w:rsidR="00000000" w:rsidDel="00000000" w:rsidP="00000000" w:rsidRDefault="00000000" w:rsidRPr="00000000" w14:paraId="00000014">
      <w:pPr>
        <w:spacing w:after="240" w:before="240" w:lineRule="auto"/>
        <w:rPr/>
      </w:pPr>
      <w:r w:rsidDel="00000000" w:rsidR="00000000" w:rsidRPr="00000000">
        <w:rPr>
          <w:rtl w:val="0"/>
        </w:rPr>
        <w:t xml:space="preserve">#Housing prices surged due to low interest rates and increased demand for larger living spaces post-lockdown. However, as central banks began raising rates, mortgage costs increased, cooling down overheated markets.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y8ch8iqjg0y" w:id="11"/>
      <w:bookmarkEnd w:id="11"/>
      <w:r w:rsidDel="00000000" w:rsidR="00000000" w:rsidRPr="00000000">
        <w:rPr>
          <w:b w:val="1"/>
          <w:color w:val="000000"/>
          <w:sz w:val="26"/>
          <w:szCs w:val="26"/>
          <w:rtl w:val="0"/>
        </w:rPr>
        <w:t xml:space="preserve">#Healthcare</w:t>
      </w:r>
    </w:p>
    <w:p w:rsidR="00000000" w:rsidDel="00000000" w:rsidP="00000000" w:rsidRDefault="00000000" w:rsidRPr="00000000" w14:paraId="00000016">
      <w:pPr>
        <w:spacing w:after="240" w:before="240" w:lineRule="auto"/>
        <w:rPr/>
      </w:pPr>
      <w:r w:rsidDel="00000000" w:rsidR="00000000" w:rsidRPr="00000000">
        <w:rPr>
          <w:rtl w:val="0"/>
        </w:rPr>
        <w:t xml:space="preserve">#Healthcare costs rose due to increased demand, supply shortages (e.g., personal protective equipment and vaccines), and labor costs. Inflation in this sector had long-term implications, especially in countries with privatized healthcare systems.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dpf7n55x057" w:id="12"/>
      <w:bookmarkEnd w:id="12"/>
      <w:r w:rsidDel="00000000" w:rsidR="00000000" w:rsidRPr="00000000">
        <w:rPr>
          <w:b w:val="1"/>
          <w:sz w:val="34"/>
          <w:szCs w:val="34"/>
          <w:rtl w:val="0"/>
        </w:rPr>
        <w:t xml:space="preserve">#Impact on Households</w:t>
      </w:r>
    </w:p>
    <w:p w:rsidR="00000000" w:rsidDel="00000000" w:rsidP="00000000" w:rsidRDefault="00000000" w:rsidRPr="00000000" w14:paraId="00000018">
      <w:pPr>
        <w:spacing w:after="240" w:before="240" w:lineRule="auto"/>
        <w:rPr/>
      </w:pPr>
      <w:r w:rsidDel="00000000" w:rsidR="00000000" w:rsidRPr="00000000">
        <w:rPr>
          <w:rtl w:val="0"/>
        </w:rPr>
        <w:t xml:space="preserve">#Inflation eroded purchasing power, making essentials like food, fuel, and housing more expensive. Middle- and low-income families faced greater hardship, with stagnant wages failing to keep pace with rising costs. This widened economic inequality in many nations.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2axje8mw5f1" w:id="13"/>
      <w:bookmarkEnd w:id="13"/>
      <w:r w:rsidDel="00000000" w:rsidR="00000000" w:rsidRPr="00000000">
        <w:rPr>
          <w:b w:val="1"/>
          <w:sz w:val="34"/>
          <w:szCs w:val="34"/>
          <w:rtl w:val="0"/>
        </w:rPr>
        <w:t xml:space="preserve">#Impact on Businesses</w:t>
      </w:r>
    </w:p>
    <w:p w:rsidR="00000000" w:rsidDel="00000000" w:rsidP="00000000" w:rsidRDefault="00000000" w:rsidRPr="00000000" w14:paraId="0000001A">
      <w:pPr>
        <w:spacing w:after="240" w:before="240" w:lineRule="auto"/>
        <w:rPr/>
      </w:pPr>
      <w:r w:rsidDel="00000000" w:rsidR="00000000" w:rsidRPr="00000000">
        <w:rPr>
          <w:rtl w:val="0"/>
        </w:rPr>
        <w:t xml:space="preserve">#Businesses faced higher input costs and uncertain consumer demand. Many small and medium-sized enterprises (SMEs) struggled to stay afloat, while large corporations passed the costs to consumers. Inflation also affected hiring and investment plans, with many firms adopting a cautious approach.</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7uvhbfkp0qi4" w:id="14"/>
      <w:bookmarkEnd w:id="14"/>
      <w:r w:rsidDel="00000000" w:rsidR="00000000" w:rsidRPr="00000000">
        <w:rPr>
          <w:b w:val="1"/>
          <w:sz w:val="34"/>
          <w:szCs w:val="34"/>
          <w:rtl w:val="0"/>
        </w:rPr>
        <w:t xml:space="preserve">#Monetary Policy Responses</w:t>
      </w:r>
    </w:p>
    <w:p w:rsidR="00000000" w:rsidDel="00000000" w:rsidP="00000000" w:rsidRDefault="00000000" w:rsidRPr="00000000" w14:paraId="0000001C">
      <w:pPr>
        <w:spacing w:after="240" w:before="240" w:lineRule="auto"/>
        <w:rPr/>
      </w:pPr>
      <w:r w:rsidDel="00000000" w:rsidR="00000000" w:rsidRPr="00000000">
        <w:rPr>
          <w:rtl w:val="0"/>
        </w:rPr>
        <w:t xml:space="preserve">#Central banks worldwide responded by tightening monetary policy. Interest rate hikes became the primary tool to curb inflation. However, this posed a challenge: cooling inflation without pushing economies into recession. The balance between growth and stability became a tightrope walk.</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awynihyvvb0c" w:id="15"/>
      <w:bookmarkEnd w:id="15"/>
      <w:r w:rsidDel="00000000" w:rsidR="00000000" w:rsidRPr="00000000">
        <w:rPr>
          <w:b w:val="1"/>
          <w:sz w:val="34"/>
          <w:szCs w:val="34"/>
          <w:rtl w:val="0"/>
        </w:rPr>
        <w:t xml:space="preserve">#Fiscal Policy and Government Interventions</w:t>
      </w:r>
    </w:p>
    <w:p w:rsidR="00000000" w:rsidDel="00000000" w:rsidP="00000000" w:rsidRDefault="00000000" w:rsidRPr="00000000" w14:paraId="0000001E">
      <w:pPr>
        <w:spacing w:after="240" w:before="240" w:lineRule="auto"/>
        <w:rPr/>
      </w:pPr>
      <w:r w:rsidDel="00000000" w:rsidR="00000000" w:rsidRPr="00000000">
        <w:rPr>
          <w:rtl w:val="0"/>
        </w:rPr>
        <w:t xml:space="preserve">#Governments introduced subsidies, price caps, and cash transfer schemes to mitigate the impact of inflation on vulnerable populations. However, these measures were often criticized for being unsustainable and potentially fueling inflation further.</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9mup3xl41k" w:id="16"/>
      <w:bookmarkEnd w:id="16"/>
      <w:r w:rsidDel="00000000" w:rsidR="00000000" w:rsidRPr="00000000">
        <w:rPr>
          <w:b w:val="1"/>
          <w:sz w:val="34"/>
          <w:szCs w:val="34"/>
          <w:rtl w:val="0"/>
        </w:rPr>
        <w:t xml:space="preserve">#Global Supply Chain Reforms</w:t>
      </w:r>
    </w:p>
    <w:p w:rsidR="00000000" w:rsidDel="00000000" w:rsidP="00000000" w:rsidRDefault="00000000" w:rsidRPr="00000000" w14:paraId="00000020">
      <w:pPr>
        <w:spacing w:after="240" w:before="240" w:lineRule="auto"/>
        <w:rPr/>
      </w:pPr>
      <w:r w:rsidDel="00000000" w:rsidR="00000000" w:rsidRPr="00000000">
        <w:rPr>
          <w:rtl w:val="0"/>
        </w:rPr>
        <w:t xml:space="preserve">#One positive outcome was the rethinking of global supply chains. Countries began diversifying their sources and investing in domestic manufacturing to reduce future vulnerabilities. Concepts like “China+1” and reshoring gained traction.</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ydsj05n28po" w:id="17"/>
      <w:bookmarkEnd w:id="17"/>
      <w:r w:rsidDel="00000000" w:rsidR="00000000" w:rsidRPr="00000000">
        <w:rPr>
          <w:b w:val="1"/>
          <w:sz w:val="34"/>
          <w:szCs w:val="34"/>
          <w:rtl w:val="0"/>
        </w:rPr>
        <w:t xml:space="preserve">#Geopolitical Ramifications</w:t>
      </w:r>
    </w:p>
    <w:p w:rsidR="00000000" w:rsidDel="00000000" w:rsidP="00000000" w:rsidRDefault="00000000" w:rsidRPr="00000000" w14:paraId="00000022">
      <w:pPr>
        <w:spacing w:after="240" w:before="240" w:lineRule="auto"/>
        <w:rPr/>
      </w:pPr>
      <w:r w:rsidDel="00000000" w:rsidR="00000000" w:rsidRPr="00000000">
        <w:rPr>
          <w:rtl w:val="0"/>
        </w:rPr>
        <w:t xml:space="preserve">#Inflation contributed to global unrest, protests, and regime changes in several countries. It also increased tensions among trading partners over tariffs, subsidies, and export bans. The economic strain intensified existing geopolitical rivalries.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qxhz6hsle6wo" w:id="18"/>
      <w:bookmarkEnd w:id="18"/>
      <w:r w:rsidDel="00000000" w:rsidR="00000000" w:rsidRPr="00000000">
        <w:rPr>
          <w:b w:val="1"/>
          <w:sz w:val="34"/>
          <w:szCs w:val="34"/>
          <w:rtl w:val="0"/>
        </w:rPr>
        <w:t xml:space="preserve">#Outlook for the Future</w:t>
      </w:r>
    </w:p>
    <w:p w:rsidR="00000000" w:rsidDel="00000000" w:rsidP="00000000" w:rsidRDefault="00000000" w:rsidRPr="00000000" w14:paraId="00000024">
      <w:pPr>
        <w:spacing w:after="240" w:before="240" w:lineRule="auto"/>
        <w:rPr/>
      </w:pPr>
      <w:r w:rsidDel="00000000" w:rsidR="00000000" w:rsidRPr="00000000">
        <w:rPr>
          <w:rtl w:val="0"/>
        </w:rPr>
        <w:t xml:space="preserve">#While inflationary pressures have begun to ease in some regions by 2024–2025, the global economy is still adjusting. The post-COVID world is marked by caution, increased focus on resilience, and lessons learned about the interconnectedness of global systems.</w:t>
      </w:r>
    </w:p>
    <w:p w:rsidR="00000000" w:rsidDel="00000000" w:rsidP="00000000" w:rsidRDefault="00000000" w:rsidRPr="00000000" w14:paraId="00000025">
      <w:pPr>
        <w:spacing w:after="240" w:before="240" w:lineRule="auto"/>
        <w:rPr/>
      </w:pPr>
      <w:r w:rsidDel="00000000" w:rsidR="00000000" w:rsidRPr="00000000">
        <w:rPr>
          <w:rtl w:val="0"/>
        </w:rPr>
        <w:t xml:space="preserve">#The long-term impact will depend on sustained policy coordination, technological innovation, and the ability of institutions to adapt to changing economic dynamics.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nntextas9rhw" w:id="19"/>
      <w:bookmarkEnd w:id="19"/>
      <w:r w:rsidDel="00000000" w:rsidR="00000000" w:rsidRPr="00000000">
        <w:rPr>
          <w:b w:val="1"/>
          <w:sz w:val="34"/>
          <w:szCs w:val="34"/>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#The global impact of inflation post-COVID-19 is a complex and multifaceted phenomenon. While the pandemic may have subsided, its economic aftershocks continue to be felt across the world. Understanding the root causes, consequences, and strategies to manage inflation is critical to building a more resilient and equitable global economy.</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